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1a4277f53b42f0" /></Relationships>
</file>

<file path=word/document.xml><?xml version="1.0" encoding="utf-8"?>
<w:document xmlns:w="http://schemas.openxmlformats.org/wordprocessingml/2006/main">
  <w:body>
    <w:p>
      <w:r>
        <w:rPr>
          <w:b/>
        </w:rPr>
        <w:r>
          <w:rPr/>
          <w:t xml:space="preserve">5323-S</w:t>
        </w:r>
      </w:r>
      <w:r>
        <w:rPr>
          <w:b/>
        </w:rPr>
        <w:t xml:space="preserve"> </w:t>
        <w:t xml:space="preserve">AMS</w:t>
      </w:r>
      <w:r>
        <w:rPr>
          <w:b/>
        </w:rPr>
        <w:t xml:space="preserve"> </w:t>
        <w:r>
          <w:rPr/>
          <w:t xml:space="preserve">DASM</w:t>
        </w:r>
      </w:r>
      <w:r>
        <w:rPr>
          <w:b/>
        </w:rPr>
        <w:t xml:space="preserve"> </w:t>
        <w:r>
          <w:rPr/>
          <w:t xml:space="preserve">S2317.2</w:t>
        </w:r>
      </w:r>
      <w:r>
        <w:rPr>
          <w:b/>
        </w:rPr>
        <w:t xml:space="preserve"> - NOT FOR FLOOR USE</w:t>
      </w:r>
    </w:p>
    <w:p>
      <w:pPr>
        <w:ind w:left="0" w:right="0" w:firstLine="576"/>
      </w:pPr>
    </w:p>
    <w:p>
      <w:pPr>
        <w:spacing w:before="480" w:after="0" w:line="408" w:lineRule="exact"/>
      </w:pPr>
      <w:r>
        <w:rPr>
          <w:b/>
          <w:u w:val="single"/>
        </w:rPr>
        <w:t xml:space="preserve">SSB 5323</w:t>
      </w:r>
      <w:r>
        <w:t xml:space="preserve"> -</w:t>
      </w:r>
      <w:r>
        <w:t xml:space="preserve"> </w:t>
        <w:t xml:space="preserve">S AMD</w:t>
      </w:r>
      <w:r>
        <w:t xml:space="preserve"> </w:t>
      </w:r>
      <w:r>
        <w:rPr>
          <w:b/>
        </w:rPr>
        <w:t xml:space="preserve">123</w:t>
      </w:r>
    </w:p>
    <w:p>
      <w:pPr>
        <w:spacing w:before="0" w:after="0" w:line="408" w:lineRule="exact"/>
        <w:ind w:left="0" w:right="0" w:firstLine="576"/>
        <w:jc w:val="left"/>
      </w:pPr>
      <w:r>
        <w:rPr/>
        <w:t xml:space="preserve">By Senator Das</w:t>
      </w:r>
    </w:p>
    <w:p>
      <w:pPr>
        <w:jc w:val="right"/>
      </w:pPr>
      <w:r>
        <w:rPr>
          <w:b/>
        </w:rPr>
        <w:t xml:space="preserve">ADOPTED 03/05/2019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2019,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recycled content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the use of recycled content bags; and</w:t>
      </w:r>
    </w:p>
    <w:p>
      <w:pPr>
        <w:spacing w:before="0" w:after="0" w:line="408" w:lineRule="exact"/>
        <w:ind w:left="0" w:right="0" w:firstLine="576"/>
        <w:jc w:val="left"/>
      </w:pPr>
      <w:r>
        <w:rPr/>
        <w:t xml:space="preserve">(d) Encourage the provision of reusable and recycled content paper carryout bags by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"Compostable" means that a product that is capable of being completely broken down in a timely manner, consistent with the standard specification as established in section 3(6) of this act, into a material safe and desirable as a soil amendment.</w:t>
      </w:r>
    </w:p>
    <w:p>
      <w:pPr>
        <w:spacing w:before="0" w:after="0" w:line="408" w:lineRule="exact"/>
        <w:ind w:left="0" w:right="0" w:firstLine="576"/>
        <w:jc w:val="left"/>
      </w:pPr>
      <w:r>
        <w:rPr/>
        <w:t xml:space="preserve">(3) "Compostable film bag" means a compostable bag that is designed and suitable only to be used once and disposed of or composted.</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"Pass-through charge" means a charge to be collected and retained by retailers from their customers when providing recycled content paper carryout bags and reusable carryout bags made of film plastic.</w:t>
      </w:r>
    </w:p>
    <w:p>
      <w:pPr>
        <w:spacing w:before="0" w:after="0" w:line="408" w:lineRule="exact"/>
        <w:ind w:left="0" w:right="0" w:firstLine="576"/>
        <w:jc w:val="left"/>
      </w:pPr>
      <w:r>
        <w:rPr/>
        <w:t xml:space="preserve">(6) "Recycled content paper carryout bag" means a paper carryout bag provided by a store to a customer at the point of sale that meets the requirements in section 3(6)(a) of this act.</w:t>
      </w:r>
    </w:p>
    <w:p>
      <w:pPr>
        <w:spacing w:before="0" w:after="0" w:line="408" w:lineRule="exact"/>
        <w:ind w:left="0" w:right="0" w:firstLine="576"/>
        <w:jc w:val="left"/>
      </w:pPr>
      <w:r>
        <w:rPr/>
        <w:t xml:space="preserve">(7) "Retail establishment" means any person, corporation, partnership, business, facility, vendor, organization, or individual that sells or provides food, merchandise, goods, or materials directly to a customer including</w:t>
      </w:r>
      <w:r>
        <w:rPr/>
        <w:t xml:space="preserve"> home delivery, temporary stores, or vendors at farmers markets, street fairs, and festivals.</w:t>
      </w:r>
    </w:p>
    <w:p>
      <w:pPr>
        <w:spacing w:before="0" w:after="0" w:line="408" w:lineRule="exact"/>
        <w:ind w:left="0" w:right="0" w:firstLine="576"/>
        <w:jc w:val="left"/>
      </w:pPr>
      <w:r>
        <w:rPr/>
        <w:t xml:space="preserve">(8) "Reusable carryout bag" means a bag made of cloth or other durable material with handles that is specifically designed and manufactured for long-term multiple reuse and meets the requirements of section 3(6)(b) of this act.</w:t>
      </w:r>
    </w:p>
    <w:p>
      <w:pPr>
        <w:spacing w:before="0" w:after="0" w:line="408" w:lineRule="exact"/>
        <w:ind w:left="0" w:right="0" w:firstLine="576"/>
        <w:jc w:val="left"/>
      </w:pPr>
      <w:r>
        <w:rPr/>
        <w:t xml:space="preserve">(9) "Single-use plastic carryout bag" means any bag that is made from plastic that is designed and suitable only to be used once and disposed.</w:t>
      </w:r>
    </w:p>
    <w:p>
      <w:pPr>
        <w:spacing w:before="0" w:after="0" w:line="408" w:lineRule="exact"/>
        <w:ind w:left="0" w:right="0" w:firstLine="576"/>
        <w:jc w:val="left"/>
      </w:pPr>
      <w:r>
        <w:rPr/>
        <w:t xml:space="preserve">(10) "Standard specification" means the entire American society for testing and materials (ASTM) specification and associated test methods that must be met for: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and section 4 of this act, a retail establishment may not provide to a customer or a person at an event:</w:t>
      </w:r>
    </w:p>
    <w:p>
      <w:pPr>
        <w:spacing w:before="0" w:after="0" w:line="408" w:lineRule="exact"/>
        <w:ind w:left="0" w:right="0" w:firstLine="576"/>
        <w:jc w:val="left"/>
      </w:pPr>
      <w:r>
        <w:rPr/>
        <w:t xml:space="preserve">(a) A single-use plastic carryout bag; or</w:t>
      </w:r>
    </w:p>
    <w:p>
      <w:pPr>
        <w:spacing w:before="0" w:after="0" w:line="408" w:lineRule="exact"/>
        <w:ind w:left="0" w:right="0" w:firstLine="576"/>
        <w:jc w:val="left"/>
      </w:pPr>
      <w:r>
        <w:rPr/>
        <w:t xml:space="preserve">(b) A paper carryout bag or reusable carryout bag made of film plastic that does not meet recycled content requirements.</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w:t>
      </w:r>
    </w:p>
    <w:p>
      <w:pPr>
        <w:spacing w:before="0" w:after="0" w:line="408" w:lineRule="exact"/>
        <w:ind w:left="0" w:right="0" w:firstLine="576"/>
        <w:jc w:val="left"/>
      </w:pPr>
      <w:r>
        <w:rPr/>
        <w:t xml:space="preserve">(b) A retail establishment must collect a pass-through charge of not less than ten cents for every recycled content paper carryout bag or reusable carryout bag made of film plastic it provides, except as provided in subsection (5) of this section and section 4 of this act. A retail establishment may make reusable carryout bags available to customers through sale.</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any receipts provided to customers.</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be tinted green or brown, and be labeled "compostable," as required under subsection (6)(c)(i) of this section.</w:t>
      </w:r>
    </w:p>
    <w:p>
      <w:pPr>
        <w:spacing w:before="0" w:after="0" w:line="408" w:lineRule="exact"/>
        <w:ind w:left="0" w:right="0" w:firstLine="576"/>
        <w:jc w:val="left"/>
      </w:pPr>
      <w:r>
        <w:rPr/>
        <w:t xml:space="preserve">(b) A retail establishment may not use or provide polyethylene or other noncompostable plastic bags:</w:t>
      </w:r>
    </w:p>
    <w:p>
      <w:pPr>
        <w:spacing w:before="0" w:after="0" w:line="408" w:lineRule="exact"/>
        <w:ind w:left="0" w:right="0" w:firstLine="576"/>
        <w:jc w:val="left"/>
      </w:pPr>
      <w:r>
        <w:rPr/>
        <w:t xml:space="preserve">(i) That are tinted green or brown for bagging of customer products in stores, as carryout bags, or for home delivery;</w:t>
      </w:r>
    </w:p>
    <w:p>
      <w:pPr>
        <w:spacing w:before="0" w:after="0" w:line="408" w:lineRule="exact"/>
        <w:ind w:left="0" w:right="0" w:firstLine="576"/>
        <w:jc w:val="left"/>
      </w:pPr>
      <w:r>
        <w:rPr/>
        <w:t xml:space="preserve">(ii) To customers to bag products in stores, as a carryout bag, or for home delivery that is labeled with the term "biodegradable," "compostable," "degradable," "decomposable," "oxo-degradable," or any similar terms, or in any way imply that the plastic bag will break down, fragment, biodegrade, or decompose in a landfill or other environment.</w:t>
      </w:r>
    </w:p>
    <w:p>
      <w:pPr>
        <w:spacing w:before="0" w:after="0" w:line="408" w:lineRule="exact"/>
        <w:ind w:left="0" w:right="0" w:firstLine="576"/>
        <w:jc w:val="left"/>
      </w:pPr>
      <w:r>
        <w:rPr/>
        <w:t xml:space="preserve">(5) Except as provided by local regulations in effect as of January 1, 2019, a retail establishment may provide a bag restricted under subsections (1) and (4) of this section from existing inventory until one year after the effective date of this section. The retail establishment, upon request by the department, must provide purchase invoices, distribution receipts, or other information documenting that the bag was acquired prior to the effective date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ASTM D6868, as it existed as of January 1, 2019; and</w:t>
      </w:r>
    </w:p>
    <w:p>
      <w:pPr>
        <w:spacing w:before="0" w:after="0" w:line="408" w:lineRule="exact"/>
        <w:ind w:left="0" w:right="0" w:firstLine="576"/>
        <w:jc w:val="left"/>
      </w:pPr>
      <w:r>
        <w:rPr/>
        <w:t xml:space="preserve">(iii) Display the minimum percentage of postconsumer content in print on the exterior of the paper bag.</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forty percent postconsumer recycled material;</w:t>
      </w:r>
    </w:p>
    <w:p>
      <w:pPr>
        <w:spacing w:before="0" w:after="0" w:line="408" w:lineRule="exact"/>
        <w:ind w:left="0" w:right="0" w:firstLine="576"/>
        <w:jc w:val="left"/>
      </w:pPr>
      <w:r>
        <w:rPr/>
        <w:t xml:space="preserve">(B) Display the minimum percentage of postconsumer content in print on the exterior of the plastic bag;</w:t>
      </w:r>
    </w:p>
    <w:p>
      <w:pPr>
        <w:spacing w:before="0" w:after="0" w:line="408" w:lineRule="exact"/>
        <w:ind w:left="0" w:right="0" w:firstLine="576"/>
        <w:jc w:val="left"/>
      </w:pPr>
      <w:r>
        <w:rPr/>
        <w:t xml:space="preserve">(C) Have a minimum thickness of no less than three mils; and</w:t>
      </w:r>
    </w:p>
    <w:p>
      <w:pPr>
        <w:spacing w:before="0" w:after="0" w:line="408" w:lineRule="exact"/>
        <w:ind w:left="0" w:right="0" w:firstLine="576"/>
        <w:jc w:val="left"/>
      </w:pPr>
      <w:r>
        <w:rPr/>
        <w:t xml:space="preserve">(D) Display wording that the bag is reusable.</w:t>
      </w:r>
    </w:p>
    <w:p>
      <w:pPr>
        <w:spacing w:before="0" w:after="0" w:line="408" w:lineRule="exact"/>
        <w:ind w:left="0" w:right="0" w:firstLine="576"/>
        <w:jc w:val="left"/>
      </w:pPr>
      <w:r>
        <w:rPr/>
        <w:t xml:space="preserve">(c) A compostable film bag must:</w:t>
      </w:r>
    </w:p>
    <w:p>
      <w:pPr>
        <w:spacing w:before="0" w:after="0" w:line="408" w:lineRule="exact"/>
        <w:ind w:left="0" w:right="0" w:firstLine="576"/>
        <w:jc w:val="left"/>
      </w:pPr>
      <w:r>
        <w:rPr/>
        <w:t xml:space="preserve">(i) Be labeled as "compostable" consistent with green guides published by the United States federal trade commission (16 C.F.R. part 260, as published October 11, 2012) or similar formal guidance issued by the federal trade commission regarding misleading environmental claims; and</w:t>
      </w:r>
    </w:p>
    <w:p>
      <w:pPr>
        <w:spacing w:before="0" w:after="0" w:line="408" w:lineRule="exact"/>
        <w:ind w:left="0" w:right="0" w:firstLine="576"/>
        <w:jc w:val="left"/>
      </w:pPr>
      <w:r>
        <w:rPr/>
        <w:t xml:space="preserve">(ii) Meet the standard specification established in ASTM D6400, as it existed as of January 1, 2019.</w:t>
      </w:r>
    </w:p>
    <w:p>
      <w:pPr>
        <w:spacing w:before="0" w:after="0" w:line="408" w:lineRule="exact"/>
        <w:ind w:left="0" w:right="0" w:firstLine="576"/>
        <w:jc w:val="left"/>
      </w:pPr>
      <w:r>
        <w:rPr/>
        <w:t xml:space="preserve">(d)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section 3 of this act for any retail establishment to pay or otherwise reimburse a customer for any portion of the pass-through charge; provided that retail establishments may not collect a pass-through charge from anyone using a voucher or electronic benefits card issued under the women, infants, and children (WIC) or temporary assistance for needy families (TANF) support programs, or the federal supplemental nutrition assistance program (SNAP, also known as basic food), or the Washington state food assistance program (FAP).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The enforcement of this chapter must be based primarily on complaints filed with the department. The department must establish a forum, which may include a complaint form on the department's web site, a telephone hotline, or a public outreach strategy relying upon electronic social media to receive complaints that allege violations. The department must provide education and outreach activities to inform retail establishments, consumers, and other interested individuals about the requirements of this chapter.</w:t>
      </w:r>
    </w:p>
    <w:p>
      <w:pPr>
        <w:spacing w:before="0" w:after="0" w:line="408" w:lineRule="exact"/>
        <w:ind w:left="0" w:right="0" w:firstLine="576"/>
        <w:jc w:val="left"/>
      </w:pPr>
      <w:r>
        <w:rPr/>
        <w:t xml:space="preserve">(3) The department may work with retail establishments, retail associations, unions, and other organizations to create educational elements regarding the benefits of reusable bags. Educational elements may include signage at store locations, informational literature, and employee training.</w:t>
      </w:r>
    </w:p>
    <w:p>
      <w:pPr>
        <w:spacing w:before="0" w:after="0" w:line="408" w:lineRule="exact"/>
        <w:ind w:left="0" w:right="0" w:firstLine="576"/>
        <w:jc w:val="left"/>
      </w:pPr>
      <w:r>
        <w:rPr/>
        <w:t xml:space="preserve">(4) Retail establishments are encouraged to educate their staff to promote reusable bags as the best option for carry-out bags and to post signs encouraging customers to use reusable bags.</w:t>
      </w:r>
    </w:p>
    <w:p>
      <w:pPr>
        <w:spacing w:before="0" w:after="0" w:line="408" w:lineRule="exact"/>
        <w:ind w:left="0" w:right="0" w:firstLine="576"/>
        <w:jc w:val="left"/>
      </w:pPr>
      <w:r>
        <w:rPr/>
        <w:t xml:space="preserve">(5) A violation of this chapter is subject to a civil penalty of up to two hundred fifty dollars. Each calendar day of operation or activity in violation of this chapter comprises a new violation.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city, town, county, or municipal corporation may not implement a local carryout bag ordinance. Any carryout bag ordinance that was not in effect as of January 1, 2019, is preempted by this chapter, as of the effective date of this section.</w:t>
      </w:r>
    </w:p>
    <w:p>
      <w:pPr>
        <w:spacing w:before="0" w:after="0" w:line="408" w:lineRule="exact"/>
        <w:ind w:left="0" w:right="0" w:firstLine="576"/>
        <w:jc w:val="left"/>
      </w:pPr>
      <w:r>
        <w:rPr/>
        <w:t xml:space="preserve">(2)(a) A city, town, county, or municipal corporation may, by ordinance, increase the amount of the minimum pass-through charge established in section 3(2)(b) of this act.</w:t>
      </w:r>
    </w:p>
    <w:p>
      <w:pPr>
        <w:spacing w:before="0" w:after="0" w:line="408" w:lineRule="exact"/>
        <w:ind w:left="0" w:right="0" w:firstLine="576"/>
        <w:jc w:val="left"/>
      </w:pPr>
      <w:r>
        <w:rPr/>
        <w:t xml:space="preserve">(b) A city, town, county, or municipal corporation ordinance in effect as of January 1, 2019, is not preempted until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July 1, 2019, from the waste reduction, recycling, and litter control account for purposes of implementing the education and outreach activities required under section 5 of this act, then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SSB 5323</w:t>
      </w:r>
      <w:r>
        <w:t xml:space="preserve"> -</w:t>
      </w:r>
      <w:r>
        <w:t xml:space="preserve"> </w:t>
        <w:t xml:space="preserve">S AMD</w:t>
      </w:r>
      <w:r>
        <w:t xml:space="preserve"> </w:t>
      </w:r>
      <w:r>
        <w:rPr>
          <w:b/>
        </w:rPr>
        <w:t xml:space="preserve">123</w:t>
      </w:r>
    </w:p>
    <w:p>
      <w:pPr>
        <w:spacing w:before="0" w:after="0" w:line="408" w:lineRule="exact"/>
        <w:ind w:left="0" w:right="0" w:firstLine="576"/>
        <w:jc w:val="left"/>
      </w:pPr>
      <w:r>
        <w:rPr/>
        <w:t xml:space="preserve">By Senator Das</w:t>
      </w:r>
    </w:p>
    <w:p>
      <w:pPr>
        <w:jc w:val="right"/>
      </w:pPr>
      <w:r>
        <w:rPr>
          <w:b/>
        </w:rPr>
        <w:t xml:space="preserve">ADOPTED 03/05/2019</w:t>
      </w:r>
    </w:p>
    <w:p>
      <w:pPr>
        <w:spacing w:before="0" w:after="0" w:line="408" w:lineRule="exact"/>
        <w:ind w:left="0" w:right="0" w:firstLine="576"/>
        <w:jc w:val="left"/>
      </w:pPr>
      <w:r>
        <w:rPr/>
        <w:t xml:space="preserve">On page 1, line 3 of the title, after "establishments;" strike the remainder of the title and insert "amending RCW 43.21B.110; adding a new chapter to Title 70 RCW; creating a new section; and prescribing penalties."</w:t>
      </w:r>
    </w:p>
    <w:p>
      <w:pPr>
        <w:spacing w:before="0" w:after="0" w:line="408" w:lineRule="exact"/>
        <w:ind w:left="0" w:right="0" w:firstLine="576"/>
        <w:jc w:val="left"/>
      </w:pPr>
      <w:r>
        <w:rPr>
          <w:u w:val="single"/>
        </w:rPr>
        <w:t xml:space="preserve">EFFECT:</w:t>
      </w:r>
      <w:r>
        <w:rPr/>
        <w:t xml:space="preserve"> Clarifies the violation is subject to a $250 civil penalty. Directs that penalties incurred under the new chapter are appealable to the pollution control hearings board created in chapter 43.21B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5e7eafe5b244b4" /></Relationships>
</file>