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e85e019234bf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5363-S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S2932.1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5363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WITHDRAWN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11, after "chapter." strike all material through "</w:t>
      </w:r>
      <w:r>
        <w:rPr>
          <w:u w:val="single"/>
        </w:rPr>
        <w:t xml:space="preserve">under this section.</w:t>
      </w:r>
      <w:r>
        <w:rPr/>
        <w:t xml:space="preserve">" on line 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13, after "</w:t>
      </w:r>
      <w:r>
        <w:rPr>
          <w:u w:val="single"/>
        </w:rPr>
        <w:t xml:space="preserve">extension.</w:t>
      </w:r>
      <w:r>
        <w:rPr/>
        <w:t xml:space="preserve">" strike all material through "</w:t>
      </w:r>
      <w:r>
        <w:rPr>
          <w:u w:val="single"/>
        </w:rPr>
        <w:t xml:space="preserve">extension.</w:t>
      </w:r>
      <w:r>
        <w:rPr/>
        <w:t xml:space="preserve">" on line 18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specifying that a local government may adopt or implement more stringent income eligibility, rent or sale prices limits than the minimum conditions otherwise required.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e8bdf1aa475d" /></Relationships>
</file>