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a6b2e75a949a5" /></Relationships>
</file>

<file path=word/document.xml><?xml version="1.0" encoding="utf-8"?>
<w:document xmlns:w="http://schemas.openxmlformats.org/wordprocessingml/2006/main">
  <w:body>
    <w:p>
      <w:r>
        <w:rPr>
          <w:b/>
        </w:rPr>
        <w:r>
          <w:rPr/>
          <w:t xml:space="preserve">5380-S</w:t>
        </w:r>
      </w:r>
      <w:r>
        <w:rPr>
          <w:b/>
        </w:rPr>
        <w:t xml:space="preserve"> </w:t>
        <w:t xml:space="preserve">AMC</w:t>
      </w:r>
      <w:r>
        <w:rPr>
          <w:b/>
        </w:rPr>
        <w:t xml:space="preserve"> </w:t>
        <w:r>
          <w:rPr/>
          <w:t xml:space="preserve">CONF</w:t>
        </w:r>
      </w:r>
      <w:r>
        <w:rPr>
          <w:b/>
        </w:rPr>
        <w:t xml:space="preserve"> </w:t>
        <w:r>
          <w:rPr/>
          <w:t xml:space="preserve">H3087.1</w:t>
        </w:r>
      </w:r>
      <w:r>
        <w:rPr>
          <w:b/>
        </w:rPr>
        <w:t xml:space="preserve"> - NOT FOR FLOOR USE</w:t>
      </w:r>
    </w:p>
    <w:p>
      <w:pPr>
        <w:ind w:left="0" w:right="0" w:firstLine="576"/>
      </w:pPr>
    </w:p>
    <w:p>
      <w:pPr>
        <w:spacing w:before="480" w:after="0" w:line="408" w:lineRule="exact"/>
      </w:pPr>
      <w:r>
        <w:rPr>
          <w:b/>
          <w:u w:val="single"/>
        </w:rPr>
        <w:t xml:space="preserve">SSB 5380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04/26/2019; SENATE ADOPTED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 may</w:t>
      </w:r>
      <w:r>
        <w:t>))</w:t>
      </w:r>
      <w:r>
        <w:rPr>
          <w:u w:val="single"/>
        </w:rPr>
        <w:t xml:space="preserve">, must</w:t>
      </w:r>
      <w:r>
        <w:rPr/>
        <w:t xml:space="preserve">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must be approved by the commission and in accordance with federal rules for electronically communicated prescriptions for controlled substance[s] included in Schedules II through V, as set forth in Title 21 C.F.R. Parts 1300, 1304, 1306, and 1311.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strike/>
        </w:rPr>
        <w:t xml:space="preserve">(d)</w:t>
      </w:r>
      <w:r>
        <w:t>))</w:t>
      </w:r>
      <w:r>
        <w:rPr/>
        <w:t xml:space="preserve"> Prescription drug orders </w:t>
      </w:r>
      <w:r>
        <w:t>((</w:t>
      </w:r>
      <w:r>
        <w:rPr>
          <w:strike/>
        </w:rPr>
        <w:t xml:space="preserve">are confidential health information, and</w:t>
      </w:r>
      <w:r>
        <w:t>))</w:t>
      </w:r>
      <w:r>
        <w:rPr/>
        <w:t xml:space="preserve">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w:t>
      </w:r>
      <w:r>
        <w:t>((</w:t>
      </w:r>
      <w:r>
        <w:rPr>
          <w:strike/>
        </w:rPr>
        <w:t xml:space="preserve">The commission may adopt rules implementing this section.</w:t>
      </w:r>
      <w:r>
        <w:t>))</w:t>
      </w:r>
      <w:r>
        <w:rPr/>
        <w:t xml:space="preserve"> </w:t>
      </w:r>
      <w:r>
        <w:rPr>
          <w:u w:val="single"/>
        </w:rPr>
        <w:t xml:space="preserve">The following are exempt from subsection (1) of this section:</w:t>
      </w:r>
    </w:p>
    <w:p>
      <w:pPr>
        <w:spacing w:before="0" w:after="0" w:line="408" w:lineRule="exact"/>
        <w:ind w:left="0" w:right="0" w:firstLine="576"/>
        <w:jc w:val="left"/>
      </w:pPr>
      <w:r>
        <w:rPr>
          <w:u w:val="single"/>
        </w:rPr>
        <w:t xml:space="preserve">(a) Prescriptions issued by veterinarians, as that practice is defined in RCW 18.92.010;</w:t>
      </w:r>
    </w:p>
    <w:p>
      <w:pPr>
        <w:spacing w:before="0" w:after="0" w:line="408" w:lineRule="exact"/>
        <w:ind w:left="0" w:right="0" w:firstLine="576"/>
        <w:jc w:val="left"/>
      </w:pPr>
      <w:r>
        <w:rPr>
          <w:u w:val="single"/>
        </w:rPr>
        <w:t xml:space="preserve">(b) Prescriptions issued for a patient of a long-term care facility as defined in RCW 18.64.011, or a hospice program as defined in RCW 18.64.011;</w:t>
      </w:r>
    </w:p>
    <w:p>
      <w:pPr>
        <w:spacing w:before="0" w:after="0" w:line="408" w:lineRule="exact"/>
        <w:ind w:left="0" w:right="0" w:firstLine="576"/>
        <w:jc w:val="left"/>
      </w:pPr>
      <w:r>
        <w:rPr>
          <w:u w:val="single"/>
        </w:rPr>
        <w:t xml:space="preserve">(c) When the electronic system used for the communication of prescription information is unavailable due to a temporary technological or electronic failure;</w:t>
      </w:r>
    </w:p>
    <w:p>
      <w:pPr>
        <w:spacing w:before="0" w:after="0" w:line="408" w:lineRule="exact"/>
        <w:ind w:left="0" w:right="0" w:firstLine="576"/>
        <w:jc w:val="left"/>
      </w:pPr>
      <w:r>
        <w:rPr>
          <w:u w:val="single"/>
        </w:rPr>
        <w:t xml:space="preserve">(d) Prescriptions issued that are intended for prescription fulfillment and dispensing outside Washington state;</w:t>
      </w:r>
    </w:p>
    <w:p>
      <w:pPr>
        <w:spacing w:before="0" w:after="0" w:line="408" w:lineRule="exact"/>
        <w:ind w:left="0" w:right="0" w:firstLine="576"/>
        <w:jc w:val="left"/>
      </w:pPr>
      <w:r>
        <w:rPr>
          <w:u w:val="single"/>
        </w:rPr>
        <w:t xml:space="preserve">(e) When the prescriber and pharmacist are employed by the same entity, or employed by entities under common ownership or control;</w:t>
      </w:r>
    </w:p>
    <w:p>
      <w:pPr>
        <w:spacing w:before="0" w:after="0" w:line="408" w:lineRule="exact"/>
        <w:ind w:left="0" w:right="0" w:firstLine="576"/>
        <w:jc w:val="left"/>
      </w:pPr>
      <w:r>
        <w:rPr>
          <w:u w:val="single"/>
        </w:rPr>
        <w:t xml:space="preserve">(f) Prescriptions issued for a drug that the United States food and drug administration or the United States drug enforcement administration requires to contain certain elements that are not able to be accomplished electronically;</w:t>
      </w:r>
    </w:p>
    <w:p>
      <w:pPr>
        <w:spacing w:before="0" w:after="0" w:line="408" w:lineRule="exact"/>
        <w:ind w:left="0" w:right="0" w:firstLine="576"/>
        <w:jc w:val="left"/>
      </w:pPr>
      <w:r>
        <w:rPr>
          <w:u w:val="single"/>
        </w:rPr>
        <w:t xml:space="preserve">(g) Any controlled substance prescription that requires compounding as defined in RCW 18.64.011;</w:t>
      </w:r>
    </w:p>
    <w:p>
      <w:pPr>
        <w:spacing w:before="0" w:after="0" w:line="408" w:lineRule="exact"/>
        <w:ind w:left="0" w:right="0" w:firstLine="576"/>
        <w:jc w:val="left"/>
      </w:pPr>
      <w:r>
        <w:rPr>
          <w:u w:val="single"/>
        </w:rPr>
        <w:t xml:space="preserve">(h) Prescriptions issued for the dispensing of a nonpatient specific prescription under a standing order, approved protocol for drug therapy, collaborative drug therapy agreement, in response to a public health emergency, or other circumstances allowed by statute or rule where a practitioner may issue a nonpatient specific prescription;</w:t>
      </w:r>
    </w:p>
    <w:p>
      <w:pPr>
        <w:spacing w:before="0" w:after="0" w:line="408" w:lineRule="exact"/>
        <w:ind w:left="0" w:right="0" w:firstLine="576"/>
        <w:jc w:val="left"/>
      </w:pPr>
      <w:r>
        <w:rPr>
          <w:u w:val="single"/>
        </w:rPr>
        <w:t xml:space="preserve">(i) Prescriptions issued under a drug research protocol;</w:t>
      </w:r>
    </w:p>
    <w:p>
      <w:pPr>
        <w:spacing w:before="0" w:after="0" w:line="408" w:lineRule="exact"/>
        <w:ind w:left="0" w:right="0" w:firstLine="576"/>
        <w:jc w:val="left"/>
      </w:pPr>
      <w:r>
        <w:rPr>
          <w:u w:val="single"/>
        </w:rPr>
        <w:t xml:space="preserve">(j) Prescriptions issued by a practitioner with the capability of electronic communication of prescription information under this section, when the practitioner reasonably determines it is impractical for the patient to obtain the electronically communicated prescription in a timely manner, and such delay would adversely impact the patient's medical condition; or</w:t>
      </w:r>
    </w:p>
    <w:p>
      <w:pPr>
        <w:spacing w:before="0" w:after="0" w:line="408" w:lineRule="exact"/>
        <w:ind w:left="0" w:right="0" w:firstLine="576"/>
        <w:jc w:val="left"/>
      </w:pPr>
      <w:r>
        <w:rPr>
          <w:u w:val="single"/>
        </w:rPr>
        <w:t xml:space="preserve">(k) Prescriptions issued by a prescriber who has received a waiver from the department.</w:t>
      </w:r>
    </w:p>
    <w:p>
      <w:pPr>
        <w:spacing w:before="0" w:after="0" w:line="408" w:lineRule="exact"/>
        <w:ind w:left="0" w:right="0" w:firstLine="576"/>
        <w:jc w:val="left"/>
      </w:pPr>
      <w:r>
        <w:rPr>
          <w:u w:val="single"/>
        </w:rPr>
        <w:t xml:space="preserve">(3) The department must develop a waiver process for the requirements of subsection (1) of this section for practitioners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u w:val="single"/>
        </w:rPr>
        <w:t xml:space="preserve">(4) A pharmacist who receives a written, oral, or faxed prescription is not required to verify that the prescription properly meets any exemptions under this section. Pharmacists may continue to dispense and deliver medications from otherwise valid written, oral, or faxed prescriptions.</w:t>
      </w:r>
    </w:p>
    <w:p>
      <w:pPr>
        <w:spacing w:before="0" w:after="0" w:line="408" w:lineRule="exact"/>
        <w:ind w:left="0" w:right="0" w:firstLine="576"/>
        <w:jc w:val="left"/>
      </w:pPr>
      <w:r>
        <w:rPr>
          <w:u w:val="single"/>
        </w:rPr>
        <w:t xml:space="preserve">(5) An individual who violates this section commits a civil violation. Disciplinary authorities may impose a fine of two hundred fifty dollars per violation, not to exceed five thousand dollars per calendar year. Fines imposed under this section must be allocated to the health professions account.</w:t>
      </w:r>
    </w:p>
    <w:p>
      <w:pPr>
        <w:spacing w:before="0" w:after="0" w:line="408" w:lineRule="exact"/>
        <w:ind w:left="0" w:right="0" w:firstLine="576"/>
        <w:jc w:val="left"/>
      </w:pPr>
      <w:r>
        <w:rPr>
          <w:u w:val="single"/>
        </w:rPr>
        <w:t xml:space="preserve">(6) Systems used for the electronic communication of prescription information must:</w:t>
      </w:r>
    </w:p>
    <w:p>
      <w:pPr>
        <w:spacing w:before="0" w:after="0" w:line="408" w:lineRule="exact"/>
        <w:ind w:left="0" w:right="0" w:firstLine="576"/>
        <w:jc w:val="left"/>
      </w:pPr>
      <w:r>
        <w:rPr>
          <w:u w:val="single"/>
        </w:rPr>
        <w:t xml:space="preserve">(a) Comply with federal laws and rules for electronically communicated prescriptions for controlled substances included in Schedules II through V, as required by Title 21 C.F.R. parts 1300, 1304, 1306, and 1311;</w:t>
      </w:r>
    </w:p>
    <w:p>
      <w:pPr>
        <w:spacing w:before="0" w:after="0" w:line="408" w:lineRule="exact"/>
        <w:ind w:left="0" w:right="0" w:firstLine="576"/>
        <w:jc w:val="left"/>
      </w:pPr>
      <w:r>
        <w:rPr>
          <w:u w:val="single"/>
        </w:rPr>
        <w:t xml:space="preserve">(b) Meet the national council for prescription drug prescriber/pharmacist interface SCRIPT standard as determined by the department in rule;</w:t>
      </w:r>
    </w:p>
    <w:p>
      <w:pPr>
        <w:spacing w:before="0" w:after="0" w:line="408" w:lineRule="exact"/>
        <w:ind w:left="0" w:right="0" w:firstLine="576"/>
        <w:jc w:val="left"/>
      </w:pPr>
      <w:r>
        <w:rPr>
          <w:u w:val="single"/>
        </w:rPr>
        <w:t xml:space="preserve">(c) Have adequate security and systems safeguards designed to prevent and detect unauthorized access, modification, or manipulation of these records;</w:t>
      </w:r>
    </w:p>
    <w:p>
      <w:pPr>
        <w:spacing w:before="0" w:after="0" w:line="408" w:lineRule="exact"/>
        <w:ind w:left="0" w:right="0" w:firstLine="576"/>
        <w:jc w:val="left"/>
      </w:pPr>
      <w:r>
        <w:rPr>
          <w:u w:val="single"/>
        </w:rPr>
        <w:t xml:space="preserve">(d) Provide an explicit opportunity for practitioners to indicate their preference on whether a therapeutically equivalent generic drug may be substituted; and</w:t>
      </w:r>
    </w:p>
    <w:p>
      <w:pPr>
        <w:spacing w:before="0" w:after="0" w:line="408" w:lineRule="exact"/>
        <w:ind w:left="0" w:right="0" w:firstLine="576"/>
        <w:jc w:val="left"/>
      </w:pPr>
      <w:r>
        <w:rPr>
          <w:u w:val="single"/>
        </w:rPr>
        <w:t xml:space="preserve">(e) Include the capability to input and track partial fills of a controlled substance prescription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w:t>
      </w:r>
      <w:r>
        <w:rPr>
          <w:u w:val="single"/>
        </w:rPr>
        <w:t xml:space="preserve">(a) Until January 1, 2021, e</w:t>
      </w:r>
      <w:r>
        <w:rPr/>
        <w:t xml:space="preserv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u w:val="single"/>
        </w:rPr>
        <w:t xml:space="preserve">(b) Beginning January 1, 2021, each dispenser must submit the information as soon as readily available, but no later than one business day from the date of distributing, and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Comply with federal prescription drug monitoring program qualification requirements under 42 U.S.C. Sec. 1396w-3a to facilitate eligibility for federal grants and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(2)(a) By January 1, 2021, a facility, entity, office, or provider group identified in RCW 70.225.040 with ten or more prescribers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(b) The department must develop a waiver process for the requirements of (a) of this subsection for facilities, entities, offices, or provider groups due to economic hardship, technological limitations that are not reasonably in the control of the facility, entity, office, or provider group, or other exceptional circumstance demonstrated by the facility, entity, office, or provider group. The waiver must be limited to one year or less, or for any other specified time frame set by the department.</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 and physician assistants;</w:t>
      </w:r>
    </w:p>
    <w:p>
      <w:pPr>
        <w:spacing w:before="0" w:after="0" w:line="408" w:lineRule="exact"/>
        <w:ind w:left="0" w:right="0" w:firstLine="576"/>
        <w:jc w:val="left"/>
      </w:pPr>
      <w:r>
        <w:rPr>
          <w:u w:val="single"/>
        </w:rPr>
        <w:t xml:space="preserve">(B) Osteopathic physicians and physician assistants;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including medications approved by the federal food and drug administration for the treatment of opioid use disorder.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(c) The department of corrections shall develop policies to prioritize services based on available grant funding and funds appropriated specifically for opioid use disorder treatment.</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(b)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p>
    <w:p>
      <w:pPr>
        <w:spacing w:before="0" w:after="0" w:line="408" w:lineRule="exact"/>
        <w:ind w:left="0" w:right="0" w:firstLine="576"/>
        <w:jc w:val="left"/>
      </w:pPr>
      <w:r>
        <w:rPr>
          <w:u w:val="single"/>
        </w:rPr>
        <w:t xml:space="preserve">(iv) Outline strategies to increase the number of waivered health care providers approved for prescribing buprenorphine by the substance abuse and mental health services administration; and</w:t>
      </w:r>
    </w:p>
    <w:p>
      <w:pPr>
        <w:spacing w:before="0" w:after="0" w:line="408" w:lineRule="exact"/>
        <w:ind w:left="0" w:right="0" w:firstLine="576"/>
        <w:jc w:val="left"/>
      </w:pPr>
      <w:r>
        <w:rPr>
          <w:u w:val="single"/>
        </w:rPr>
        <w:t xml:space="preserve">(v) Outline strategies to lower the cost of federal food and drug administration approved products for the treatment of opioid use disorder.</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reasonable efforts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employees, school employees, and their covered dependents under this chapter issued or renewed on or after January 1, 2020,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2020, a health carrier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initiation or renewal of a contract with the authority to administer a medicaid managed care plan, a managed health care system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reversal medication" has the meaning provided in RCW 69.41.095;</w:t>
      </w:r>
    </w:p>
    <w:p>
      <w:pPr>
        <w:spacing w:before="0" w:after="0" w:line="408" w:lineRule="exact"/>
        <w:ind w:left="0" w:right="0" w:firstLine="576"/>
        <w:jc w:val="left"/>
      </w:pPr>
      <w:r>
        <w:rPr/>
        <w:t xml:space="preserve">(c) "Opioid-related overdose" has the meaning provided in RCW 69.41.095;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high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reversal medication doses in each of its high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section 40 of this act and any rules or guidelines for such training adopted by the office of the superintendent of public instruction. Each high school is encouraged to designate and train at least one school personnel to distribute and administer opioid overdose reversal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section 39 of this act;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Beginning with the 2020-21 school year, the following school districts must adopt an opioid-related overdose policy: (a) School districts with a school that obtains, maintains, distributes, or administers opioid overdose reversal medication under section 39 of this act; and (b) school districts with two thousand or more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nine through twelve and public higher education institutions to purchase opioid overdose reversal medication and train personnel on the administration of opioid overdose reversal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rPr>
          <w:u w:val="single"/>
        </w:rPr>
        <w:t xml:space="preserve">. A parent-designated adult must be a volunteer, who may be a school district employee, who receives additional training from a health care professional or expert in epileptic seizure care selected by the parents, and who provides care for the child consistent with the individual health plan</w:t>
      </w:r>
      <w:r>
        <w:rPr/>
        <w:t xml:space="preserve">; </w:t>
      </w:r>
      <w:r>
        <w:rPr>
          <w:u w:val="single"/>
        </w:rPr>
        <w:t xml:space="preserve">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w:t>
      </w:r>
      <w:r>
        <w:rPr>
          <w:u w:val="single"/>
        </w:rPr>
        <w:t xml:space="preserve">(h) of this</w:t>
      </w:r>
      <w:r>
        <w:rPr/>
        <w:t xml:space="preserve"> subsection </w:t>
      </w:r>
      <w:r>
        <w:t>((</w:t>
      </w:r>
      <w:r>
        <w:rPr>
          <w:strike/>
        </w:rPr>
        <w:t xml:space="preserve">(8)(a) of this section</w:t>
      </w:r>
      <w:r>
        <w:t>))</w:t>
      </w:r>
      <w:r>
        <w:rPr/>
        <w:t xml:space="preserve">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(2)</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(b) Opioid overdose reversal medication. Provisions related to maintenance and administration of opioid overdose reversal medication are in section 39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reversal medication in and around the residence hall; and (b) for the training of designated personnel to administer opioid overdose reversal medication to respond to symptoms of an opioid-related overdose. The training may utilize free online training resources including, but not limited to, the free online training resources identified as appropriate for public schools in section 40 of this act. The plan may identify: The ratio of residents to opioid overdose reversal medication doses; the designated trained personnel, who may include residence hall advisers; and whether the designated trained personnel covers more than one residence hall.</w:t>
      </w:r>
    </w:p>
    <w:p>
      <w:pPr>
        <w:spacing w:before="0" w:after="0" w:line="408" w:lineRule="exact"/>
        <w:ind w:left="0" w:right="0" w:firstLine="576"/>
        <w:jc w:val="left"/>
      </w:pPr>
      <w:r>
        <w:rPr/>
        <w:t xml:space="preserve">(3) The state board for community and technical colleges shall assist an individual community or technical college with applying for grants or donations to obtain opioid overdose reversal medication at no cost or at a discount.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expires January 1, 2021.</w:t>
      </w:r>
    </w:p>
    <w:p>
      <w:pPr>
        <w:spacing w:before="0" w:after="0" w:line="408" w:lineRule="exact"/>
        <w:ind w:left="0" w:right="0" w:firstLine="576"/>
        <w:jc w:val="left"/>
      </w:pPr>
      <w:r>
        <w:rPr/>
        <w:t xml:space="preserve">(2) Section 16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SSB 5380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04/26/2019; SENATE ADOPTED 04/26/2019</w:t>
      </w:r>
    </w:p>
    <w:p>
      <w:pPr>
        <w:spacing w:before="0" w:after="0" w:line="408" w:lineRule="exact"/>
        <w:ind w:left="0" w:right="0" w:firstLine="576"/>
        <w:jc w:val="left"/>
      </w:pPr>
      <w:r>
        <w:rPr/>
        <w:t xml:space="preserve">On page 1, line 2 of the title, after "services;" strike the remainder of the title and insert "amending RCW 69.41.055, 69.41.095, 70.41.480, 70.168.090, 70.225.010, 70.225.040, 71.24.011, 71.24.560, 71.24.585, 71.24.590, 71.24.595, 28A.210.260, and 28A.210.270; amending 2005 c 70 s 1 (uncodified); reenacting and amending RCW 69.50.312, 69.50.312, 70.225.020, and 71.24.580; adding a new section to chapter 18.22 RCW; adding a new section to chapter 18.32 RCW; adding a new section to chapter 18.57 RCW; adding a new section to chapter 18.57A RCW; adding a new section to chapter 18.64 RCW; adding a new section to chapter 18.71 RCW; adding a new section to chapter 18.71A RCW; adding a new section to chapter 18.79 RCW; adding new sections to chapter 43.70 RCW; adding a new section to chapter 69.50 RCW; adding a new section to chapter 70.225 RCW; adding new sections to chapter 71.24 RCW; adding new sections to chapter 74.09 RCW; adding a new section to chapter 41.05 RCW; adding a new section to chapter 48.43 RCW; adding new sections to chapter 28A.210 RCW; adding a new section to chapter 28B.10 RCW; creating new sections;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1de1a90ad42e3" /></Relationships>
</file>