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9c040ecc7442f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5393-S2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S2785.1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5393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PULLED 03/09/2019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30, strike all of subsections (3) and (4) and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Subject to appropriations, the office shall exercise sound discretion in selecting financial aid recipients, prioritizing financial need and other considerations such as whether the student is a former foster youth."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 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16, strike all of subsection (13)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30, after "income" strike "shall" and insert "may be eligible to"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10, line 1, strike all of part II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part and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5393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PULLED 03/09/2019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"28B.15.820," strike "43.88C.010,"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requirement of legislature to appropriate funding for the program. Removes the caseload forecast requirement. Makes the Washington college promise program subject to appropriations.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7fa7f00034f1c" /></Relationships>
</file>