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7744b297244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S2371.1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02/27/2019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</w:t>
      </w:r>
      <w:r>
        <w:t>((</w:t>
      </w:r>
      <w:r>
        <w:rPr>
          <w:strike/>
        </w:rPr>
        <w:t xml:space="preserve">.</w:t>
      </w:r>
      <w:r>
        <w:t>))</w:t>
      </w:r>
      <w:r>
        <w:rPr/>
        <w:t xml:space="preserve">" insert "</w:t>
      </w:r>
      <w:r>
        <w:rPr>
          <w:u w:val="single"/>
        </w:rPr>
        <w:t xml:space="preserve">and must use clinical terminology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(c) All comprehensive sexual health education curricula and instructional materials must be reviewed by a gynecologist or urologist.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Specifies that all sexual health information, instruction, and materials must use clinical terminology.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all comprehensive sexual health education curricula and instructional materials to be reviewed by a gynecologist or urologist.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7025a0a04fa8" /></Relationships>
</file>