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da58f109684967" /></Relationships>
</file>

<file path=word/document.xml><?xml version="1.0" encoding="utf-8"?>
<w:document xmlns:w="http://schemas.openxmlformats.org/wordprocessingml/2006/main">
  <w:body>
    <w:p>
      <w:r>
        <w:rPr>
          <w:b/>
        </w:rPr>
        <w:r>
          <w:rPr/>
          <w:t xml:space="preserve">5410-S</w:t>
        </w:r>
      </w:r>
      <w:r>
        <w:rPr>
          <w:b/>
        </w:rPr>
        <w:t xml:space="preserve"> </w:t>
        <w:t xml:space="preserve">AMS</w:t>
      </w:r>
      <w:r>
        <w:rPr>
          <w:b/>
        </w:rPr>
        <w:t xml:space="preserve"> </w:t>
        <w:r>
          <w:rPr/>
          <w:t xml:space="preserve">HASE</w:t>
        </w:r>
      </w:r>
      <w:r>
        <w:rPr>
          <w:b/>
        </w:rPr>
        <w:t xml:space="preserve"> </w:t>
        <w:r>
          <w:rPr/>
          <w:t xml:space="preserve">S2112.1</w:t>
        </w:r>
      </w:r>
      <w:r>
        <w:rPr>
          <w:b/>
        </w:rPr>
        <w:t xml:space="preserve"> - NOT FOR FLOOR USE</w:t>
      </w:r>
    </w:p>
    <w:p>
      <w:pPr>
        <w:ind w:left="0" w:right="0" w:firstLine="576"/>
      </w:pPr>
    </w:p>
    <w:p>
      <w:pPr>
        <w:spacing w:before="480" w:after="0" w:line="408" w:lineRule="exact"/>
      </w:pPr>
      <w:r>
        <w:rPr>
          <w:b/>
          <w:u w:val="single"/>
        </w:rPr>
        <w:t xml:space="preserve">SSB 5410 (S1675.2)</w:t>
      </w:r>
      <w:r>
        <w:t xml:space="preserve"> -</w:t>
      </w:r>
      <w:r>
        <w:t xml:space="preserve"> </w:t>
        <w:t xml:space="preserve">S AMD TO S AMD</w:t>
      </w:r>
      <w:r>
        <w:t xml:space="preserve"> </w:t>
      </w:r>
      <w:r>
        <w:rPr>
          <w:b/>
        </w:rPr>
        <w:t xml:space="preserve">83</w:t>
      </w:r>
    </w:p>
    <w:p>
      <w:pPr>
        <w:spacing w:before="0" w:after="0" w:line="408" w:lineRule="exact"/>
        <w:ind w:left="0" w:right="0" w:firstLine="576"/>
        <w:jc w:val="left"/>
      </w:pPr>
      <w:r>
        <w:rPr/>
        <w:t xml:space="preserve">By Senator Hasegawa</w:t>
      </w:r>
    </w:p>
    <w:p>
      <w:pPr>
        <w:jc w:val="right"/>
      </w:pPr>
      <w:r>
        <w:rPr>
          <w:b/>
        </w:rPr>
        <w:t xml:space="preserve">NOT CONSIDERED 12/23/2019</w:t>
      </w:r>
    </w:p>
    <w:p>
      <w:pPr>
        <w:spacing w:before="0" w:after="0" w:line="408" w:lineRule="exact"/>
        <w:ind w:left="0" w:right="0" w:firstLine="576"/>
        <w:jc w:val="left"/>
      </w:pPr>
      <w:r>
        <w:rPr/>
        <w:t xml:space="preserve">On page 2, line 25, after "2019." insert "</w:t>
      </w:r>
      <w:r>
        <w:rPr>
          <w:u w:val="single"/>
        </w:rPr>
        <w:t xml:space="preserve">The institutions of higher education must include in biennial reviews data including the number and proportion of students who requested and subsequently received or were denied college credit by exam type, subject area, and appropriate demographic information about credit recipients including transfer status, race or ethnicity, and state need grant status. The purpose of this data is to review equity in participation rates and success rates within the advanced placement, international baccalaureate, and Cambridge assessment international education programs, and subsequently compare that data with similar data from the general student populations of schools feeding into the programs.</w:t>
      </w:r>
      <w:r>
        <w:rPr/>
        <w:t xml:space="preserve">"</w:t>
      </w:r>
    </w:p>
    <w:p>
      <w:pPr>
        <w:spacing w:before="0" w:after="0" w:line="408" w:lineRule="exact"/>
        <w:ind w:left="0" w:right="0" w:firstLine="576"/>
        <w:jc w:val="left"/>
      </w:pPr>
      <w:r>
        <w:rPr>
          <w:u w:val="single"/>
        </w:rPr>
        <w:t xml:space="preserve">EFFECT:</w:t>
      </w:r>
      <w:r>
        <w:rPr/>
        <w:t xml:space="preserve"> Adds to reporting requirement that institutions of higher education include data about credit awarding by exam type, transfer status, race or ethnicity, and state need grant status.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c6d821e38d42f9" /></Relationships>
</file>