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87540d29492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S2983.3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399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5, after "(1) The" strike all material through "commissioner" and insert "commissioner, in consultation with the exchange"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15, after "(b) The" strike "exchange" and insert "commissioner"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"(c) The" strike "exchange" and insert "commissioner"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"(d) The" strike "exchange" and insert "commissioner"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15, after "to the" strike "health benefit exchange" and insert "commissioner"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Directs the Insurance Commissioner, instead of the Health Benefit Exchange, to develop and update standardized benefit health plan designs.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3f462ef549a8" /></Relationships>
</file>