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319b7ccaa46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5579-S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S2585.2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2 of this act takes effect July 1, 2020."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5579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"section;" strike "and prescribing penalties" and insert "prescribing penalties; and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the effective date of section 2 of this act until July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8acbe1c184567" /></Relationships>
</file>