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95c411d740c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WELL</w:t>
        </w:r>
      </w:r>
      <w:r>
        <w:rPr>
          <w:b/>
        </w:rPr>
        <w:t xml:space="preserve"> </w:t>
        <w:r>
          <w:rPr/>
          <w:t xml:space="preserve">S2863.1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Wellman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18, after "</w:t>
      </w:r>
      <w:r>
        <w:rPr>
          <w:u w:val="single"/>
        </w:rPr>
        <w:t xml:space="preserve">property.</w:t>
      </w:r>
      <w:r>
        <w:rPr/>
        <w:t xml:space="preserve">" strike all material through "</w:t>
      </w:r>
      <w:r>
        <w:rPr>
          <w:u w:val="single"/>
        </w:rPr>
        <w:t xml:space="preserve">compensation.</w:t>
      </w:r>
      <w:r>
        <w:rPr/>
        <w:t xml:space="preserve">" on line 19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restriction that no money from the depreciation subfund may be used for employee compensation.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161d6e46c4840" /></Relationships>
</file>