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189c4507d44e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S2980.1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377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13, after "practitioner" strike all material through "child" on line 16 and insert "</w:t>
      </w:r>
      <w:r>
        <w:t>((</w:t>
      </w:r>
      <w:r>
        <w:rPr>
          <w:strike/>
        </w:rPr>
        <w:t xml:space="preserve">if the parent or legal guardian demonstrates membership in a religious body or a church in which the religious beliefs or teachings of the church preclude a health care practitioner from providing medical treatment to the child</w:t>
      </w:r>
      <w:r>
        <w:t>))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Deletes language limiting the religious exemption to only beliefs or teachings that preclude members from allowing a practitioner to provide medical treatment to a child.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0c766ce51443a" /></Relationships>
</file>