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41e0fa2a9441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S2504.1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11, line 6, after "(5)" strike all material through "</w:t>
      </w:r>
      <w:r>
        <w:rPr>
          <w:strike/>
        </w:rPr>
        <w:t xml:space="preserve">(6)</w:t>
      </w:r>
      <w:r>
        <w:rPr/>
        <w:t xml:space="preserve">))" on page 12, line 5 and insert "If the offender's underlying offense is one of the following felonies and the violation behavior constitutes a new misdemeanor, gross misdemeanor or felony, the offender shall be held in total confinement pending a sanction hearing, and until the sanction expires or until if a prosecuting attorney files new charges against the offender, whichever occurs first: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Assault in the first degree, as defined in RCW 9A.36.011;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Assault of a child in the first degree, as defined in RCW 9A.36.120;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Assault of a child in the second degree, as defined in RCW 9A.36.130;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Burglary in the first degree, as defined in RCW 9A.52.020;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Child molestation in the first degree, as defined in RCW 9A.44.083;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Commercial sexual abuse of a minor, as defined in RCW 9.68A.100;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Dealing in depictions of a minor engaged in sexually explicit conduct, as defined in RCW 9.68A.050;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Homicide by abuse, as defined in RCW 9A.32.055;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Indecent liberties with forcible compulsion, as defined in RCW 9A.44.100(1)(a);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Indecent liberties with a person capable of consent, as defined in RCW 9A.44.100(1)(b);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(k) Kidnapping in the first degree, as defined in RCW 9A.40.020;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(l) Murder in the first degree, as defined in RCW 9A.32.030;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(m) Murder in the second degree, as defined in RCW 9A.32.050;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(n) Promoting commercial sexual abuse of a minor, as defined in RCW 9.68A.101;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(o) Rape in the first degree, as defined in RCW 9A.44.040;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(p) Rape in the second degree, as defined in RCW 9A.44.050;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(q) Rape of a child in the first degree, as defined in RCW 9A.44.073;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(r) Rape of a child in the second degree, as defined in RCW 9A.44.076;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(s) Robbery in the first degree, as defined in RCW 9A.56.200;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(t) Sexual exploitation of a minor, as defined in RCW 9.68A.040;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(u) Vehicular homicide while under the influence of intoxicating liquor or any drug, as defined in RCW 46.61.520(1)(a).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requirement for thirty days of sanction time or until a prosecuting attorney files new charges, whichever comes first, for underlying twenty-one felony designation case offenders when the violation behavior constitutes a new misdemeanor, gross misdemeanor, or felony.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fba72a6f42c7" /></Relationships>
</file>