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d9571d43b243f4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5880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KUDE</w:t>
        </w:r>
      </w:r>
      <w:r>
        <w:rPr>
          <w:b/>
        </w:rPr>
        <w:t xml:space="preserve"> </w:t>
        <w:r>
          <w:rPr/>
          <w:t xml:space="preserve">S2647.1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SB 5880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147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Kuderer</w:t>
      </w:r>
    </w:p>
    <w:p>
      <w:pPr>
        <w:jc w:val="right"/>
      </w:pPr>
      <w:r>
        <w:rPr>
          <w:b/>
        </w:rPr>
        <w:t xml:space="preserve">NOT CONSIDERED 12/23/2019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14, beginning on line 9, strike all material through "</w:t>
      </w:r>
      <w:r>
        <w:rPr>
          <w:u w:val="single"/>
        </w:rPr>
        <w:t xml:space="preserve">was</w:t>
      </w:r>
      <w:r>
        <w:rPr/>
        <w:t xml:space="preserve">" on line 10 and insert "</w:t>
      </w:r>
      <w:r>
        <w:rPr>
          <w:u w:val="single"/>
        </w:rPr>
        <w:t xml:space="preserve">is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Allows juvenile court to hold a discretionary decline hearing whenever a person in the custody of Juvenile Rehabilitation who is serving a minimum sentence until age 21 is charged with custodial assault.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b51313865c4067" /></Relationships>
</file>