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014eed113434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S4453.1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04/25/2019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8, after "act" strike all material through "chapter" on line 14 and insert "that protect or preserve existing remedial actions"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moneys in the model toxics control stormwater account must be used only to carry out stormwater activities that protect or preserve existing remedial actions.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c06dec632440f" /></Relationships>
</file>