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50b58bbbb4526"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ERIC</w:t>
        </w:r>
      </w:r>
      <w:r>
        <w:rPr>
          <w:b/>
        </w:rPr>
        <w:t xml:space="preserve"> </w:t>
        <w:r>
          <w:rPr/>
          <w:t xml:space="preserve">S4519.2</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792</w:t>
      </w:r>
    </w:p>
    <w:p>
      <w:pPr>
        <w:spacing w:before="0" w:after="0" w:line="408" w:lineRule="exact"/>
        <w:ind w:left="0" w:right="0" w:firstLine="576"/>
        <w:jc w:val="left"/>
      </w:pPr>
      <w:r>
        <w:rPr/>
        <w:t xml:space="preserve">By Senator Ericksen</w:t>
      </w:r>
    </w:p>
    <w:p>
      <w:pPr>
        <w:jc w:val="right"/>
      </w:pPr>
      <w:r>
        <w:rPr>
          <w:b/>
        </w:rPr>
        <w:t xml:space="preserve">NOT ADOPTED 04/25/2019</w:t>
      </w:r>
    </w:p>
    <w:p>
      <w:pPr>
        <w:spacing w:before="0" w:after="0" w:line="408" w:lineRule="exact"/>
        <w:ind w:left="0" w:right="0" w:firstLine="576"/>
        <w:jc w:val="left"/>
      </w:pPr>
      <w:r>
        <w:rPr/>
        <w:t xml:space="preserve">On page 30,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415</w:instrText>
      </w:r>
      <w:r/>
      <w:r>
        <w:rPr>
          <w:b/>
        </w:rPr>
        <w:fldChar w:fldCharType="end"/>
      </w:r>
      <w:r>
        <w:t xml:space="preserve">  </w:t>
      </w:r>
      <w:r>
        <w:rPr/>
        <w:t xml:space="preserve">This act is null and void if, during the 2019-2021 fiscal biennium, any funds from the following accounts are transferred to the state general fund: State toxics control account, local toxics control account, environmental legacy stewardship account, model toxics control operating account, model toxics control capital account, or model toxics control stormwater account."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Makes the act null and void if funding from Model Toxics Control Act accounts, either current law or created by this act, are transferred to the state general fund in the 2019-21 biennium.</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0f1ae4d444bc9" /></Relationships>
</file>