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9e73eec83419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S4449.2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04/25/2019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"chapter" insert ", except as provided under RCW 70.105D.---(7) (section 2(7), chapter . . . (SHB 1290), Laws of 2019)"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Technical amendment. Specifies the deposit of revenue under SHB 1290 in the Model Toxics Control Capital account. SHB 1290 has passed the Legislature.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6a9fa452b4305" /></Relationships>
</file>