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4ed2a521d449d9" /></Relationships>
</file>

<file path=word/document.xml><?xml version="1.0" encoding="utf-8"?>
<w:document xmlns:w="http://schemas.openxmlformats.org/wordprocessingml/2006/main">
  <w:body>
    <w:p>
      <w:r>
        <w:rPr>
          <w:b/>
        </w:rPr>
        <w:r>
          <w:rPr/>
          <w:t xml:space="preserve">5998-S</w:t>
        </w:r>
      </w:r>
      <w:r>
        <w:rPr>
          <w:b/>
        </w:rPr>
        <w:t xml:space="preserve"> </w:t>
        <w:t xml:space="preserve">AMS</w:t>
      </w:r>
      <w:r>
        <w:rPr>
          <w:b/>
        </w:rPr>
        <w:t xml:space="preserve"> </w:t>
        <w:r>
          <w:rPr/>
          <w:t xml:space="preserve">NGUY</w:t>
        </w:r>
      </w:r>
      <w:r>
        <w:rPr>
          <w:b/>
        </w:rPr>
        <w:t xml:space="preserve"> </w:t>
        <w:r>
          <w:rPr/>
          <w:t xml:space="preserve">S4441.7</w:t>
        </w:r>
      </w:r>
      <w:r>
        <w:rPr>
          <w:b/>
        </w:rPr>
        <w:t xml:space="preserve"> - NOT FOR FLOOR USE</w:t>
      </w:r>
    </w:p>
    <w:p>
      <w:pPr>
        <w:ind w:left="0" w:right="0" w:firstLine="576"/>
      </w:pPr>
    </w:p>
    <w:p>
      <w:pPr>
        <w:spacing w:before="480" w:after="0" w:line="408" w:lineRule="exact"/>
      </w:pPr>
      <w:r>
        <w:rPr>
          <w:b/>
          <w:u w:val="single"/>
        </w:rPr>
        <w:t xml:space="preserve">SSB 5998</w:t>
      </w:r>
      <w:r>
        <w:t xml:space="preserve"> -</w:t>
      </w:r>
      <w:r>
        <w:t xml:space="preserve"> </w:t>
        <w:t xml:space="preserve">S AMD</w:t>
      </w:r>
      <w:r>
        <w:t xml:space="preserve"> </w:t>
      </w:r>
      <w:r>
        <w:rPr>
          <w:b/>
        </w:rPr>
        <w:t xml:space="preserve">805</w:t>
      </w:r>
    </w:p>
    <w:p>
      <w:pPr>
        <w:spacing w:before="0" w:after="0" w:line="408" w:lineRule="exact"/>
        <w:ind w:left="0" w:right="0" w:firstLine="576"/>
        <w:jc w:val="left"/>
      </w:pPr>
      <w:r>
        <w:rPr/>
        <w:t xml:space="preserve">By Senator Nguyen</w:t>
      </w:r>
    </w:p>
    <w:p>
      <w:pPr>
        <w:jc w:val="right"/>
      </w:pPr>
      <w:r>
        <w:rPr>
          <w:b/>
        </w:rPr>
        <w:t xml:space="preserve">ADOPTED 04/25/2019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2017 3rd sp.s. c 10 s 13 are each amended to read as follows:</w:t>
      </w:r>
    </w:p>
    <w:p>
      <w:pPr>
        <w:spacing w:before="0" w:after="0" w:line="408" w:lineRule="exact"/>
        <w:ind w:left="0" w:right="0" w:firstLine="576"/>
        <w:jc w:val="left"/>
      </w:pPr>
      <w:r>
        <w:rPr>
          <w:u w:val="single"/>
        </w:rPr>
        <w:t xml:space="preserve">(1)</w:t>
      </w:r>
      <w:r>
        <w:rPr/>
        <w:t xml:space="preserve"> There is imposed an excise tax upon each sale of real property </w:t>
      </w:r>
      <w:r>
        <w:t>((</w:t>
      </w:r>
      <w:r>
        <w:rPr>
          <w:strike/>
        </w:rPr>
        <w:t xml:space="preserve">at the rate of one and twenty-eight one-hundredths percent of the selling price. Beginning July 1, 2013, and ending June 30, 2023</w:t>
      </w:r>
      <w:r>
        <w:t>))</w:t>
      </w:r>
      <w:r>
        <w:rPr>
          <w:u w:val="single"/>
        </w:rPr>
        <w:t xml:space="preserve">.</w:t>
      </w:r>
    </w:p>
    <w:p>
      <w:pPr>
        <w:spacing w:before="0" w:after="0" w:line="408" w:lineRule="exact"/>
        <w:ind w:left="0" w:right="0" w:firstLine="576"/>
        <w:jc w:val="left"/>
      </w:pPr>
      <w:r>
        <w:rPr>
          <w:u w:val="single"/>
        </w:rPr>
        <w:t xml:space="preserve">(a) Through December 31, 2019, the rate of the tax imposed under this section is 1.28 percent of the selling price.</w:t>
      </w:r>
    </w:p>
    <w:p>
      <w:pPr>
        <w:spacing w:before="0" w:after="0" w:line="408" w:lineRule="exact"/>
        <w:ind w:left="0" w:right="0" w:firstLine="576"/>
        <w:jc w:val="left"/>
      </w:pPr>
      <w:r>
        <w:rPr>
          <w:u w:val="single"/>
        </w:rPr>
        <w:t xml:space="preserve">(b) Beginning January 1, 2020, except as provided in (c) of this subsection, the rate of the tax imposed under this section is as follows:</w:t>
      </w:r>
    </w:p>
    <w:p>
      <w:pPr>
        <w:spacing w:before="0" w:after="0" w:line="408" w:lineRule="exact"/>
        <w:ind w:left="0" w:right="0" w:firstLine="576"/>
        <w:jc w:val="left"/>
      </w:pPr>
      <w:r>
        <w:rPr>
          <w:u w:val="single"/>
        </w:rPr>
        <w:t xml:space="preserve">(i) 1.1 percent of the portion of the selling price that is less than or equal to five hundred thousand dollars;</w:t>
      </w:r>
    </w:p>
    <w:p>
      <w:pPr>
        <w:spacing w:before="0" w:after="0" w:line="408" w:lineRule="exact"/>
        <w:ind w:left="0" w:right="0" w:firstLine="576"/>
        <w:jc w:val="left"/>
      </w:pPr>
      <w:r>
        <w:rPr>
          <w:u w:val="single"/>
        </w:rPr>
        <w:t xml:space="preserve">(ii) 1.28 percent of the portion of the selling price that is greater than five hundred thousand dollars and equal to or less than one million five hundred thousand dollars;</w:t>
      </w:r>
    </w:p>
    <w:p>
      <w:pPr>
        <w:spacing w:before="0" w:after="0" w:line="408" w:lineRule="exact"/>
        <w:ind w:left="0" w:right="0" w:firstLine="576"/>
        <w:jc w:val="left"/>
      </w:pPr>
      <w:r>
        <w:rPr>
          <w:u w:val="single"/>
        </w:rPr>
        <w:t xml:space="preserve">(iii) 2.75 percent of the portion of the selling price that is greater than one million five hundred thousand dollars and equal to or less than three million dollars;</w:t>
      </w:r>
    </w:p>
    <w:p>
      <w:pPr>
        <w:spacing w:before="0" w:after="0" w:line="408" w:lineRule="exact"/>
        <w:ind w:left="0" w:right="0" w:firstLine="576"/>
        <w:jc w:val="left"/>
      </w:pPr>
      <w:r>
        <w:rPr>
          <w:u w:val="single"/>
        </w:rPr>
        <w:t xml:space="preserve">(iv) Three percent of the portion of the selling price that is greater than three million dollars.</w:t>
      </w:r>
    </w:p>
    <w:p>
      <w:pPr>
        <w:spacing w:before="0" w:after="0" w:line="408" w:lineRule="exact"/>
        <w:ind w:left="0" w:right="0" w:firstLine="576"/>
        <w:jc w:val="left"/>
      </w:pPr>
      <w:r>
        <w:rPr>
          <w:u w:val="single"/>
        </w:rPr>
        <w:t xml:space="preserve">(c) The sale of real property that is classified as timberland or agricultural land is subject to the tax imposed under this section at a rate of 1.28 percent of the selling price.</w:t>
      </w:r>
    </w:p>
    <w:p>
      <w:pPr>
        <w:spacing w:before="0" w:after="0" w:line="408" w:lineRule="exact"/>
        <w:ind w:left="0" w:right="0" w:firstLine="576"/>
        <w:jc w:val="left"/>
      </w:pPr>
      <w:r>
        <w:rPr>
          <w:u w:val="single"/>
        </w:rPr>
        <w:t xml:space="preserve">(2) Beginning July 1, 2022, and every fourth year thereafter:</w:t>
      </w:r>
    </w:p>
    <w:p>
      <w:pPr>
        <w:spacing w:before="0" w:after="0" w:line="408" w:lineRule="exact"/>
        <w:ind w:left="0" w:right="0" w:firstLine="576"/>
        <w:jc w:val="left"/>
      </w:pPr>
      <w:r>
        <w:rPr>
          <w:u w:val="single"/>
        </w:rPr>
        <w:t xml:space="preserve">(a) The department must adjust the selling price threshold in subsection (1)(b)(i) of this section to reflect the lesser of the growth of the consumer price index for shelter or five percent. If the growth is equal to or less than zero percent, the current selling price threshold continues to apply.</w:t>
      </w:r>
    </w:p>
    <w:p>
      <w:pPr>
        <w:spacing w:before="0" w:after="0" w:line="408" w:lineRule="exact"/>
        <w:ind w:left="0" w:right="0" w:firstLine="576"/>
        <w:jc w:val="left"/>
      </w:pPr>
      <w:r>
        <w:rPr>
          <w:u w:val="single"/>
        </w:rPr>
        <w:t xml:space="preserve">(b) The department must adjust the selling price thresholds in subsection (1)(b)(ii) through (iv) of this section by the dollar amount of any increase in the selling price threshold in subsection (1)(b)(i) of this section.</w:t>
      </w:r>
    </w:p>
    <w:p>
      <w:pPr>
        <w:spacing w:before="0" w:after="0" w:line="408" w:lineRule="exact"/>
        <w:ind w:left="0" w:right="0" w:firstLine="576"/>
        <w:jc w:val="left"/>
      </w:pPr>
      <w:r>
        <w:rPr>
          <w:u w:val="single"/>
        </w:rPr>
        <w:t xml:space="preserve">(c) The department must publish updated selling price thresholds by September 1, 2022, and September 1st of every fourth year thereafter. Updated selling price thresholds will apply beginning January 1, 2023, and January 1st every fourth year thereafter. Adjusted selling price thresholds must be rounded to the nearest one thousand dollars. No changes may be made to adjusted selling price thresholds once such adjustments take effect.</w:t>
      </w:r>
    </w:p>
    <w:p>
      <w:pPr>
        <w:spacing w:before="0" w:after="0" w:line="408" w:lineRule="exact"/>
        <w:ind w:left="0" w:right="0" w:firstLine="576"/>
        <w:jc w:val="left"/>
      </w:pPr>
      <w:r>
        <w:rPr>
          <w:u w:val="single"/>
        </w:rPr>
        <w:t xml:space="preserve">(d) The most recent selling price threshold becomes the base for subsequent adjustments.</w:t>
      </w:r>
    </w:p>
    <w:p>
      <w:pPr>
        <w:spacing w:before="0" w:after="0" w:line="408" w:lineRule="exact"/>
        <w:ind w:left="0" w:right="0" w:firstLine="576"/>
        <w:jc w:val="left"/>
      </w:pPr>
      <w:r>
        <w:rPr>
          <w:u w:val="single"/>
        </w:rPr>
        <w:t xml:space="preserve">(e) The department must report adjustments to the selling price thresholds to the fiscal committees of the legislature, beginning December 1, 2022, and December 1st every fourth year thereafter.</w:t>
      </w:r>
    </w:p>
    <w:p>
      <w:pPr>
        <w:spacing w:before="0" w:after="0" w:line="408" w:lineRule="exact"/>
        <w:ind w:left="0" w:right="0" w:firstLine="576"/>
        <w:jc w:val="left"/>
      </w:pPr>
      <w:r>
        <w:rPr>
          <w:u w:val="single"/>
        </w:rPr>
        <w:t xml:space="preserve">(3)(a) The department must publish guidance to assist sellers in properly classifying real property on the real estate excise tax affidavit for purposes of determining the proper amount of tax due under this section. Real property with multiple uses must be classified according to the property's predominant use. The department's guidance must include factors for use in determining the predominant use of real property.</w:t>
      </w:r>
    </w:p>
    <w:p>
      <w:pPr>
        <w:spacing w:before="0" w:after="0" w:line="408" w:lineRule="exact"/>
        <w:ind w:left="0" w:right="0" w:firstLine="576"/>
        <w:jc w:val="left"/>
      </w:pPr>
      <w:r>
        <w:rPr>
          <w:u w:val="single"/>
        </w:rPr>
        <w:t xml:space="preserve">(b) County treasurers are not responsible for verifying that the seller has properly classified real property reported on a real estate excise tax affidavit. The department is solely responsible for such verification as part of its audit responsibilities under RCW 82.45.150.</w:t>
      </w:r>
    </w:p>
    <w:p>
      <w:pPr>
        <w:spacing w:before="0" w:after="0" w:line="408" w:lineRule="exact"/>
        <w:ind w:left="0" w:right="0" w:firstLine="576"/>
        <w:jc w:val="left"/>
      </w:pPr>
      <w:r>
        <w:rPr>
          <w:u w:val="single"/>
        </w:rPr>
        <w:t xml:space="preserve">(4)(a) Beginning July 1, 2013, and ending December 31, 2019</w:t>
      </w:r>
      <w:r>
        <w:rPr/>
        <w:t xml:space="preserve">, an amount equal to two percent of the proceeds of this tax must be deposited in the public works assistance account created in RCW 43.155.050, </w:t>
      </w:r>
      <w:r>
        <w:t>((</w:t>
      </w:r>
      <w:r>
        <w:rPr>
          <w:strike/>
        </w:rPr>
        <w:t xml:space="preserve">and</w:t>
      </w:r>
      <w:r>
        <w:t>))</w:t>
      </w:r>
      <w:r>
        <w:rPr/>
        <w:t xml:space="preserve"> an amount equal to four and one</w:t>
      </w:r>
      <w:r>
        <w:rPr/>
        <w:noBreakHyphen/>
      </w:r>
      <w:r>
        <w:rPr/>
        <w:t xml:space="preserve">tenth percent must be deposited in the education legacy trust account created in RCW 83.100.230</w:t>
      </w:r>
      <w:r>
        <w:t>((</w:t>
      </w:r>
      <w:r>
        <w:rPr>
          <w:strike/>
        </w:rPr>
        <w:t xml:space="preserve">. Thereafter, an amount equal to six and one-tenth percent of the proceeds of this tax to the state treasurer must be deposited in the public works assistance account created in RCW 43.155.050. Except as otherwise provided in this section</w:t>
      </w:r>
      <w:r>
        <w:t>))</w:t>
      </w:r>
      <w:r>
        <w:rPr/>
        <w:t xml:space="preserve">, an amount equal to one and six-tenths percent </w:t>
      </w:r>
      <w:r>
        <w:t>((</w:t>
      </w:r>
      <w:r>
        <w:rPr>
          <w:strike/>
        </w:rPr>
        <w:t xml:space="preserve">of the proceeds of this tax to the state treasurer</w:t>
      </w:r>
      <w:r>
        <w:t>))</w:t>
      </w:r>
      <w:r>
        <w:rPr/>
        <w:t xml:space="preserve"> must be deposited in the city-county assistance account created in RCW 43.08.290</w:t>
      </w:r>
      <w:r>
        <w:rPr>
          <w:u w:val="single"/>
        </w:rPr>
        <w:t xml:space="preserve">, and the remainder must be deposited in the general fund.</w:t>
      </w:r>
    </w:p>
    <w:p>
      <w:pPr>
        <w:spacing w:before="0" w:after="0" w:line="408" w:lineRule="exact"/>
        <w:ind w:left="0" w:right="0" w:firstLine="576"/>
        <w:jc w:val="left"/>
      </w:pPr>
      <w:r>
        <w:rPr>
          <w:u w:val="single"/>
        </w:rPr>
        <w:t xml:space="preserve">(b) Beginning January 1, 2020, amounts collected from the tax imposed under this section must be deposited as provided in section 2 of this act.</w:t>
      </w:r>
    </w:p>
    <w:p>
      <w:pPr>
        <w:spacing w:before="0" w:after="0" w:line="408" w:lineRule="exact"/>
        <w:ind w:left="0" w:right="0" w:firstLine="576"/>
        <w:jc w:val="left"/>
      </w:pPr>
      <w:r>
        <w:rPr>
          <w:u w:val="single"/>
        </w:rPr>
        <w:t xml:space="preserve">(5) The definitions in this subsection apply throughout this section unless the context clearly requires otherwise.</w:t>
      </w:r>
    </w:p>
    <w:p>
      <w:pPr>
        <w:spacing w:before="0" w:after="0" w:line="408" w:lineRule="exact"/>
        <w:ind w:left="0" w:right="0" w:firstLine="576"/>
        <w:jc w:val="left"/>
      </w:pPr>
      <w:r>
        <w:rPr>
          <w:u w:val="single"/>
        </w:rPr>
        <w:t xml:space="preserve">(a) "Agricultural land" means farm and agricultural land and farm and agricultural conservation land, as those terms are defined in RCW 84.34.020, including any structures on such land.</w:t>
      </w:r>
    </w:p>
    <w:p>
      <w:pPr>
        <w:spacing w:before="0" w:after="0" w:line="408" w:lineRule="exact"/>
        <w:ind w:left="0" w:right="0" w:firstLine="576"/>
        <w:jc w:val="left"/>
      </w:pPr>
      <w:r>
        <w:rPr>
          <w:u w:val="single"/>
        </w:rPr>
        <w:t xml:space="preserve">(b) "Consumer price index for shelter" means the most current seasonally adjusted index for the shelter expenditure category of the consumer price index for all urban consumers (CPI-U) as published by July 31st by the bureau of labor statistics of the United States department of labor.</w:t>
      </w:r>
    </w:p>
    <w:p>
      <w:pPr>
        <w:spacing w:before="0" w:after="0" w:line="408" w:lineRule="exact"/>
        <w:ind w:left="0" w:right="0" w:firstLine="576"/>
        <w:jc w:val="left"/>
      </w:pPr>
      <w:r>
        <w:rPr>
          <w:u w:val="single"/>
        </w:rPr>
        <w:t xml:space="preserve">(c) "Growth of the consumer price index for shelter" means the percentage increase in the consumer price index for shelter as measured from data published by the bureau of labor statistics of the United States department of labor by July 31st for the most recent three-year period for the selling price threshold adjustment in 2022, and the most recent four-year period for subsequent selling price threshold adjustments.</w:t>
      </w:r>
    </w:p>
    <w:p>
      <w:pPr>
        <w:spacing w:before="0" w:after="0" w:line="408" w:lineRule="exact"/>
        <w:ind w:left="0" w:right="0" w:firstLine="576"/>
        <w:jc w:val="left"/>
      </w:pPr>
      <w:r>
        <w:rPr>
          <w:u w:val="single"/>
        </w:rPr>
        <w:t xml:space="preserve">(d) "Timberland" means land classified under chapter 84.34 RCW or designated under chapter 84.33 RCW, including any structures and standing timber on such land, and standing timber sold apart from the land upon which it sits.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(1) Beginning January 1, 2020, and ending June 30, 2023, the amounts received for the tax imposed on each sale of real property under RCW 82.45.060 must be deposited as follows:</w:t>
      </w:r>
    </w:p>
    <w:p>
      <w:pPr>
        <w:spacing w:before="0" w:after="0" w:line="408" w:lineRule="exact"/>
        <w:ind w:left="0" w:right="0" w:firstLine="576"/>
        <w:jc w:val="left"/>
      </w:pPr>
      <w:r>
        <w:rPr/>
        <w:t xml:space="preserve">(a) 1.7 percent must be deposited into the public works assistance account created in RCW 43.155.050;</w:t>
      </w:r>
    </w:p>
    <w:p>
      <w:pPr>
        <w:spacing w:before="0" w:after="0" w:line="408" w:lineRule="exact"/>
        <w:ind w:left="0" w:right="0" w:firstLine="576"/>
        <w:jc w:val="left"/>
      </w:pPr>
      <w:r>
        <w:rPr/>
        <w:t xml:space="preserve">(b) 1.4 percent must be deposited into the city-county assistance account created in RCW 43.08.290;</w:t>
      </w:r>
    </w:p>
    <w:p>
      <w:pPr>
        <w:spacing w:before="0" w:after="0" w:line="408" w:lineRule="exact"/>
        <w:ind w:left="0" w:right="0" w:firstLine="576"/>
        <w:jc w:val="left"/>
      </w:pPr>
      <w:r>
        <w:rPr/>
        <w:t xml:space="preserve">(c) 79.4 percent must be deposited into the general fund; and</w:t>
      </w:r>
    </w:p>
    <w:p>
      <w:pPr>
        <w:spacing w:before="0" w:after="0" w:line="408" w:lineRule="exact"/>
        <w:ind w:left="0" w:right="0" w:firstLine="576"/>
        <w:jc w:val="left"/>
      </w:pPr>
      <w:r>
        <w:rPr/>
        <w:t xml:space="preserve">(d) The remainder must be deposited into the educational legacy trust account created in RCW 83.100.230.</w:t>
      </w:r>
    </w:p>
    <w:p>
      <w:pPr>
        <w:spacing w:before="0" w:after="0" w:line="408" w:lineRule="exact"/>
        <w:ind w:left="0" w:right="0" w:firstLine="576"/>
        <w:jc w:val="left"/>
      </w:pPr>
      <w:r>
        <w:rPr/>
        <w:t xml:space="preserve">(2) Beginning July 1, 2023, and thereafter, the amounts received for the tax imposed on each sale of real property under RCW 82.45.060 must be deposited as follows:</w:t>
      </w:r>
    </w:p>
    <w:p>
      <w:pPr>
        <w:spacing w:before="0" w:after="0" w:line="408" w:lineRule="exact"/>
        <w:ind w:left="0" w:right="0" w:firstLine="576"/>
        <w:jc w:val="left"/>
      </w:pPr>
      <w:r>
        <w:rPr/>
        <w:t xml:space="preserve">(a) 5.2 percent must be deposited into the public works assistance account created in RCW 43.155.050;</w:t>
      </w:r>
    </w:p>
    <w:p>
      <w:pPr>
        <w:spacing w:before="0" w:after="0" w:line="408" w:lineRule="exact"/>
        <w:ind w:left="0" w:right="0" w:firstLine="576"/>
        <w:jc w:val="left"/>
      </w:pPr>
      <w:r>
        <w:rPr/>
        <w:t xml:space="preserve">(b) 1.4 percent must be deposited into the city-county assistance account created in RCW 43.08.290;</w:t>
      </w:r>
    </w:p>
    <w:p>
      <w:pPr>
        <w:spacing w:before="0" w:after="0" w:line="408" w:lineRule="exact"/>
        <w:ind w:left="0" w:right="0" w:firstLine="576"/>
        <w:jc w:val="left"/>
      </w:pPr>
      <w:r>
        <w:rPr/>
        <w:t xml:space="preserve">(c) 79.4 percent must be deposited into the general fund; and</w:t>
      </w:r>
    </w:p>
    <w:p>
      <w:pPr>
        <w:spacing w:before="0" w:after="0" w:line="408" w:lineRule="exact"/>
        <w:ind w:left="0" w:right="0" w:firstLine="576"/>
        <w:jc w:val="left"/>
      </w:pPr>
      <w:r>
        <w:rPr/>
        <w:t xml:space="preserve">(d) The remainder must be deposited into the education legacy trust account created in RCW 83.100.230.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2018 c 223 s 3 and 2018 c 221 s 1 are each reenacted and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w:t>
      </w:r>
      <w:r>
        <w:t>((</w:t>
      </w:r>
      <w:r>
        <w:rPr>
          <w:strike/>
        </w:rPr>
        <w:t xml:space="preserve">twelve-</w:t>
      </w:r>
      <w:r>
        <w:t>))</w:t>
      </w:r>
      <w:r>
        <w:rPr/>
        <w:t xml:space="preserve"> </w:t>
      </w:r>
      <w:r>
        <w:rPr>
          <w:u w:val="single"/>
        </w:rPr>
        <w:t xml:space="preserve">thirty-six</w:t>
      </w:r>
      <w:r>
        <w:rPr/>
        <w:t xml:space="preserve"> 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w:t>
      </w:r>
      <w:r>
        <w:t>((</w:t>
      </w:r>
      <w:r>
        <w:rPr>
          <w:strike/>
        </w:rPr>
        <w:t xml:space="preserve">twelve-</w:t>
      </w:r>
      <w:r>
        <w:t>))</w:t>
      </w:r>
      <w:r>
        <w:rPr/>
        <w:t xml:space="preserve"> </w:t>
      </w:r>
      <w:r>
        <w:rPr>
          <w:u w:val="single"/>
        </w:rPr>
        <w:t xml:space="preserve">thirty-six</w:t>
      </w:r>
      <w:r>
        <w:rPr/>
        <w:t xml:space="preserve"> 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a mortgage.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 or other transfer of an interest in real property merely to secure a debt, or the assignment thereof.</w:t>
      </w:r>
    </w:p>
    <w:p>
      <w:pPr>
        <w:spacing w:before="0" w:after="0" w:line="408" w:lineRule="exact"/>
        <w:ind w:left="0" w:right="0" w:firstLine="576"/>
        <w:jc w:val="left"/>
      </w:pPr>
      <w:r>
        <w:rPr/>
        <w:t xml:space="preserve">(j) Any transfer or conveyance made pursuant to a deed of trust or an order of sale by the court in any mortgage, deed of trust, or lien foreclosure proceeding or upon execution of a judgment, or deed in lieu of foreclosure to satisfy a mortgage or deed of trust.</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w:t>
      </w:r>
      <w:r>
        <w:t>((</w:t>
      </w:r>
      <w:r>
        <w:rPr>
          <w:strike/>
        </w:rPr>
        <w:t xml:space="preserve">twelve-</w:t>
      </w:r>
      <w:r>
        <w:t>))</w:t>
      </w:r>
      <w:r>
        <w:rPr/>
        <w:t xml:space="preserve"> </w:t>
      </w:r>
      <w:r>
        <w:rPr>
          <w:u w:val="single"/>
        </w:rPr>
        <w:t xml:space="preserve">thirty-six</w:t>
      </w:r>
      <w:r>
        <w:rPr/>
        <w:t xml:space="preserve"> 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0" w:after="0" w:line="408" w:lineRule="exact"/>
        <w:ind w:left="0" w:right="0" w:firstLine="576"/>
        <w:jc w:val="left"/>
      </w:pPr>
      <w:r>
        <w:rPr/>
        <w:t xml:space="preserve">(s)(i) A transfer of a qualified low-income housing development or controlling interest in a qualified low-income housing development, unless, due to noncompliance with federal statutory requirements, the seller is subject to recapture, in whole or in part, of its allocated federal low-income housing tax credits within the four years prior to the date of transfer.</w:t>
      </w:r>
    </w:p>
    <w:p>
      <w:pPr>
        <w:spacing w:before="0" w:after="0" w:line="408" w:lineRule="exact"/>
        <w:ind w:left="0" w:right="0" w:firstLine="576"/>
        <w:jc w:val="left"/>
      </w:pPr>
      <w:r>
        <w:rPr/>
        <w:t xml:space="preserve">(ii) For purposes of this subsection (3)(s), "qualified low-income housing development" means real property and improvements in respect to which the seller or, in the case of a transfer of a controlling interest, the owner or beneficial owner, was allocated federal low-income housing tax credits authorized under 26 U.S.C. Sec. 42 or successor statute, by the Washington state housing finance commission or successor state-authorized tax credit allocating agency.</w:t>
      </w:r>
    </w:p>
    <w:p>
      <w:pPr>
        <w:spacing w:before="0" w:after="0" w:line="408" w:lineRule="exact"/>
        <w:ind w:left="0" w:right="0" w:firstLine="576"/>
        <w:jc w:val="left"/>
      </w:pPr>
      <w:r>
        <w:rPr/>
        <w:t xml:space="preserve">(iii) This subsection (3)(s) does not apply to transfers of a qualified low-income housing development or controlling interest in a qualified low-income housing development occurring on or after July 1, 2035.</w:t>
      </w:r>
    </w:p>
    <w:p>
      <w:pPr>
        <w:spacing w:before="0" w:after="0" w:line="408" w:lineRule="exact"/>
        <w:ind w:left="0" w:right="0" w:firstLine="576"/>
        <w:jc w:val="left"/>
      </w:pPr>
      <w:r>
        <w:rPr/>
        <w:t xml:space="preserve">(iv) The Washington state housing finance commission, in consultation with the department, must gather data on: (A) The fiscal savings, if any, accruing to transferees as a result of the exemption provided in this subsection (3)(s); (B) the extent to which transferors of qualified low-income housing developments receive consideration, including any assumption of debt, as part of a transfer subject to the exemption provided in this subsection (3)(s); and (C) the continued use of the property for low-income housing. The Washington state housing finance commission must provide this information to the joint legislative audit and review committee. The committee must conduct a review of the tax preference created under this subsection (3)(s) in calendar year 2033, as required under chapter 43.136 RCW.</w:t>
      </w:r>
    </w:p>
    <w:p>
      <w:pPr>
        <w:spacing w:before="0" w:after="0" w:line="408" w:lineRule="exact"/>
        <w:ind w:left="0" w:right="0" w:firstLine="576"/>
        <w:jc w:val="left"/>
      </w:pPr>
      <w:r>
        <w:rPr/>
        <w:t xml:space="preserve">(t)(i) A qualified transfer of residential property by a legal representative of a person with developmental disabilities to a qualified entity subject to the following conditions:</w:t>
      </w:r>
    </w:p>
    <w:p>
      <w:pPr>
        <w:spacing w:before="0" w:after="0" w:line="408" w:lineRule="exact"/>
        <w:ind w:left="0" w:right="0" w:firstLine="576"/>
        <w:jc w:val="left"/>
      </w:pPr>
      <w:r>
        <w:rPr/>
        <w:t xml:space="preserve">(A) The adult child with developmental disabilities of the transferor of the residential property must be allowed to reside in the residence or successor property so long as the placement is safe and appropriate as determined by the department of social and health services;</w:t>
      </w:r>
    </w:p>
    <w:p>
      <w:pPr>
        <w:spacing w:before="0" w:after="0" w:line="408" w:lineRule="exact"/>
        <w:ind w:left="0" w:right="0" w:firstLine="576"/>
        <w:jc w:val="left"/>
      </w:pPr>
      <w:r>
        <w:rPr/>
        <w:t xml:space="preserve">(B) The title to the residential property is conveyed without the receipt of consideration by the legal representative of a person with developmental disabilities to a qualified entity;</w:t>
      </w:r>
    </w:p>
    <w:p>
      <w:pPr>
        <w:spacing w:before="0" w:after="0" w:line="408" w:lineRule="exact"/>
        <w:ind w:left="0" w:right="0" w:firstLine="576"/>
        <w:jc w:val="left"/>
      </w:pPr>
      <w:r>
        <w:rPr/>
        <w:t xml:space="preserve">(C) The residential property must have no more than four living units located on it; and</w:t>
      </w:r>
    </w:p>
    <w:p>
      <w:pPr>
        <w:spacing w:before="0" w:after="0" w:line="408" w:lineRule="exact"/>
        <w:ind w:left="0" w:right="0" w:firstLine="576"/>
        <w:jc w:val="left"/>
      </w:pPr>
      <w:r>
        <w:rPr/>
        <w:t xml:space="preserve">(D) The residential property transferred must remain in continued use for fifty years by the qualified entity as supported living for persons with developmental disabilities by the qualified entity or successor entity. If the qualified entity sells or otherwise conveys ownership of the residential property the proceeds of the sale or conveyance must be used to acquire similar residential property and such similar residential property must be considered the successor for continued use. The property will not be considered in continued use if the department of social and health services finds that the property has failed, after a reasonable time to remedy, to meet any health and safety statutory or regulatory requirements. If the department of social and health services determines that the property fails to meet the requirements for continued use, the department of social and health services must notify the department and the real estate excise tax based on the value of the property at the time of the transfer into use as residential property for persons with developmental disabilities becomes immediately due and payable by the qualified entity. The tax due is not subject to penalties, fees, or interest under this title.</w:t>
      </w:r>
    </w:p>
    <w:p>
      <w:pPr>
        <w:spacing w:before="0" w:after="0" w:line="408" w:lineRule="exact"/>
        <w:ind w:left="0" w:right="0" w:firstLine="576"/>
        <w:jc w:val="left"/>
      </w:pPr>
      <w:r>
        <w:rPr/>
        <w:t xml:space="preserve">(ii) For the purposes of this subsection (3)(t) the definitions in RCW 71A.10.020 apply.</w:t>
      </w:r>
    </w:p>
    <w:p>
      <w:pPr>
        <w:spacing w:before="0" w:after="0" w:line="408" w:lineRule="exact"/>
        <w:ind w:left="0" w:right="0" w:firstLine="576"/>
        <w:jc w:val="left"/>
      </w:pPr>
      <w:r>
        <w:rPr/>
        <w:t xml:space="preserve">(iii) A "qualified entity" is:</w:t>
      </w:r>
    </w:p>
    <w:p>
      <w:pPr>
        <w:spacing w:before="0" w:after="0" w:line="408" w:lineRule="exact"/>
        <w:ind w:left="0" w:right="0" w:firstLine="576"/>
        <w:jc w:val="left"/>
      </w:pPr>
      <w:r>
        <w:rPr/>
        <w:t xml:space="preserve">(A) A nonprofit organization under Title 26 U.S.C. Sec. 501(c)(3) of the federal internal revenue code of 1986, as amended, as of June 7, 2018, or a subsidiary under the same taxpayer identification number that provides residential supported living for persons with developmental disabilities; or</w:t>
      </w:r>
    </w:p>
    <w:p>
      <w:pPr>
        <w:spacing w:before="0" w:after="0" w:line="408" w:lineRule="exact"/>
        <w:ind w:left="0" w:right="0" w:firstLine="576"/>
        <w:jc w:val="left"/>
      </w:pPr>
      <w:r>
        <w:rPr/>
        <w:t xml:space="preserve">(B) A nonprofit adult family home, as defined in RCW 70.128.010, that exclusively serves persons with developmental disabilities.</w:t>
      </w:r>
    </w:p>
    <w:p>
      <w:pPr>
        <w:spacing w:before="0" w:after="0" w:line="408" w:lineRule="exact"/>
        <w:ind w:left="0" w:right="0" w:firstLine="576"/>
        <w:jc w:val="left"/>
      </w:pPr>
      <w:r>
        <w:rPr/>
        <w:t xml:space="preserve">(iv) In order to receive an exemption under this subsection (3)(t) an affidavit must be submitted by the transferor of the residential property and must include a copy of the transfer agreement and any other documentation as required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033</w:t>
      </w:r>
      <w:r>
        <w:rPr/>
        <w:t xml:space="preserve"> and 2010 1st sp.s. c 23 s 208 are each amended to read as follows:</w:t>
      </w:r>
    </w:p>
    <w:p>
      <w:pPr>
        <w:spacing w:before="0" w:after="0" w:line="408" w:lineRule="exact"/>
        <w:ind w:left="0" w:right="0" w:firstLine="576"/>
        <w:jc w:val="left"/>
      </w:pPr>
      <w:r>
        <w:rPr/>
        <w:t xml:space="preserve">(1) As used in this chapter, the term "controlling interest" has the following meaning:</w:t>
      </w:r>
    </w:p>
    <w:p>
      <w:pPr>
        <w:spacing w:before="0" w:after="0" w:line="408" w:lineRule="exact"/>
        <w:ind w:left="0" w:right="0" w:firstLine="576"/>
        <w:jc w:val="left"/>
      </w:pPr>
      <w:r>
        <w:rPr/>
        <w:t xml:space="preserve">(a) In the case of a </w:t>
      </w:r>
      <w:r>
        <w:rPr>
          <w:u w:val="single"/>
        </w:rPr>
        <w:t xml:space="preserve">profit</w:t>
      </w:r>
      <w:r>
        <w:rPr/>
        <w:t xml:space="preserve"> corporation, either fifty percent or more of the total combined voting power of all classes of stock of the corporation entitled to vote, or fifty percent of the capital, profits, or beneficial interest in the voting stock of the corporation; and</w:t>
      </w:r>
    </w:p>
    <w:p>
      <w:pPr>
        <w:spacing w:before="0" w:after="0" w:line="408" w:lineRule="exact"/>
        <w:ind w:left="0" w:right="0" w:firstLine="576"/>
        <w:jc w:val="left"/>
      </w:pPr>
      <w:r>
        <w:rPr/>
        <w:t xml:space="preserve">(b) In the case of </w:t>
      </w:r>
      <w:r>
        <w:rPr>
          <w:u w:val="single"/>
        </w:rPr>
        <w:t xml:space="preserve">any other corporation, or</w:t>
      </w:r>
      <w:r>
        <w:rPr/>
        <w:t xml:space="preserve"> a partnership, association, trust, or other entity, fifty percent or more of the capital, profits, or beneficial interest in such </w:t>
      </w:r>
      <w:r>
        <w:rPr>
          <w:u w:val="single"/>
        </w:rPr>
        <w:t xml:space="preserve">corporation,</w:t>
      </w:r>
      <w:r>
        <w:rPr/>
        <w:t xml:space="preserve"> partnership, association, trust, or other entity.</w:t>
      </w:r>
    </w:p>
    <w:p>
      <w:pPr>
        <w:spacing w:before="0" w:after="0" w:line="408" w:lineRule="exact"/>
        <w:ind w:left="0" w:right="0" w:firstLine="576"/>
        <w:jc w:val="left"/>
      </w:pPr>
      <w:r>
        <w:rPr/>
        <w:t xml:space="preserve">(2) The department may, at the department's option, enforce the obligation of the seller under this chapter as provided in this subsection (2):</w:t>
      </w:r>
    </w:p>
    <w:p>
      <w:pPr>
        <w:spacing w:before="0" w:after="0" w:line="408" w:lineRule="exact"/>
        <w:ind w:left="0" w:right="0" w:firstLine="576"/>
        <w:jc w:val="left"/>
      </w:pPr>
      <w:r>
        <w:rPr/>
        <w:t xml:space="preserve">(a) In the transfer or acquisition of a controlling interest as defined in subsection (1)(a) of this section, either against the corporation in which a controlling interest is transferred or acquired, against the person or persons who acquired the controlling interest in the corporation or, when the corporation is not a publicly traded company, against the person or persons who transferred the controlling interest in the corporation; and</w:t>
      </w:r>
    </w:p>
    <w:p>
      <w:pPr>
        <w:spacing w:before="0" w:after="0" w:line="408" w:lineRule="exact"/>
        <w:ind w:left="0" w:right="0" w:firstLine="576"/>
        <w:jc w:val="left"/>
      </w:pPr>
      <w:r>
        <w:rPr/>
        <w:t xml:space="preserve">(b) In the transfer or acquisition of a controlling interest as defined in subsection (1)(b) of this section, either against the entity in which a controlling interest is transferred or acquired or against the person or persons who transferred or acquired the controlling interest in the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45</w:t>
      </w:r>
      <w:r>
        <w:rPr/>
        <w:t xml:space="preserve"> RCW</w:t>
      </w:r>
      <w:r>
        <w:rPr/>
        <w:t xml:space="preserve"> to read as follows:</w:t>
      </w:r>
    </w:p>
    <w:p>
      <w:pPr>
        <w:spacing w:before="0" w:after="0" w:line="408" w:lineRule="exact"/>
        <w:ind w:left="0" w:right="0" w:firstLine="576"/>
        <w:jc w:val="left"/>
      </w:pPr>
      <w:r>
        <w:rPr/>
        <w:t xml:space="preserve">The legislature recognizes that in adopting a graduated tax rate structure providing for increased tax rates for sales of highly valued property, while also exempting certain types of property from the increased tax rates, some taxpayers will attempt to avoid or reduce the tax imposed in this chapter by structuring transactions in a way that serves no meaningful purpose other than to reduce tax due under this chapter.</w:t>
      </w:r>
    </w:p>
    <w:p>
      <w:pPr>
        <w:spacing w:before="0" w:after="0" w:line="408" w:lineRule="exact"/>
        <w:ind w:left="0" w:right="0" w:firstLine="576"/>
        <w:jc w:val="left"/>
      </w:pPr>
      <w:r>
        <w:rPr/>
        <w:t xml:space="preserve">(1)(a) When necessary to deny the tax benefit that would otherwise accrue from engaging in one or more related transactions designed to avoid tax under this chapter, the department is authorized to disregard the form of the transaction or series of transactions and determine the proper tax treatment under this chapter based on the substance of the transaction or transactions. In exercising this authority, the department may consider the factors described in RCW 82.32.655(2) (a), (b), (c), and (f).</w:t>
      </w:r>
    </w:p>
    <w:p>
      <w:pPr>
        <w:spacing w:before="0" w:after="0" w:line="408" w:lineRule="exact"/>
        <w:ind w:left="0" w:right="0" w:firstLine="576"/>
        <w:jc w:val="left"/>
      </w:pPr>
      <w:r>
        <w:rPr/>
        <w:t xml:space="preserve">(b) The authority provided in this subsection includes, but is not limited to, treating multiple sales as a single sale as necessary to prevent the parties from reducing the tax liability under this chapter when it appears that the parties have engaged in a concerted plan intended from the outset to achieve a reduced effective tax rate than had the parties collapsed the separate sales into a single sale at the outset.</w:t>
      </w:r>
    </w:p>
    <w:p>
      <w:pPr>
        <w:spacing w:before="0" w:after="0" w:line="408" w:lineRule="exact"/>
        <w:ind w:left="0" w:right="0" w:firstLine="576"/>
        <w:jc w:val="left"/>
      </w:pPr>
      <w:r>
        <w:rPr/>
        <w:t xml:space="preserve">(2) The department is encouraged to provide guidance to the public concerning the department's implementation of this section, whether by rule or otherwise.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390</w:t>
      </w:r>
      <w:r>
        <w:rPr/>
        <w:t xml:space="preserve"> and 2010 1st sp.s. c 23 s 213 are each amended to read as follows:</w:t>
      </w:r>
    </w:p>
    <w:p>
      <w:pPr>
        <w:spacing w:before="0" w:after="0" w:line="408" w:lineRule="exact"/>
        <w:ind w:left="0" w:right="0" w:firstLine="576"/>
        <w:jc w:val="left"/>
      </w:pPr>
      <w:r>
        <w:rPr/>
        <w:t xml:space="preserve">(1)(a) The secretary of state must adopt rules requiring any entity that is required to file an annual report with the secretary of state, including entities under Titles 23, 23B, 24, and 25 RCW, to disclose: (i) Any transfer of the controlling interest in the entity </w:t>
      </w:r>
      <w:r>
        <w:rPr>
          <w:u w:val="single"/>
        </w:rPr>
        <w:t xml:space="preserve">or an interest that amounts to at least one-third of a controlling interest in the entity</w:t>
      </w:r>
      <w:r>
        <w:rPr/>
        <w:t xml:space="preserve">; and (ii) the granting of any option to acquire an interest </w:t>
      </w:r>
      <w:r>
        <w:t>((</w:t>
      </w:r>
      <w:r>
        <w:rPr>
          <w:strike/>
        </w:rPr>
        <w:t xml:space="preserve">in the entity if the exercise of the option would result in a sale as defined in RCW 82.45.010(2)</w:t>
      </w:r>
      <w:r>
        <w:t>))</w:t>
      </w:r>
      <w:r>
        <w:rPr/>
        <w:t xml:space="preserve"> </w:t>
      </w:r>
      <w:r>
        <w:rPr>
          <w:u w:val="single"/>
        </w:rPr>
        <w:t xml:space="preserve">described in (a)(i) of this subsection</w:t>
      </w:r>
      <w:r>
        <w:rPr/>
        <w:t xml:space="preserve">.</w:t>
      </w:r>
    </w:p>
    <w:p>
      <w:pPr>
        <w:spacing w:before="0" w:after="0" w:line="408" w:lineRule="exact"/>
        <w:ind w:left="0" w:right="0" w:firstLine="576"/>
        <w:jc w:val="left"/>
      </w:pPr>
      <w:r>
        <w:rPr/>
        <w:t xml:space="preserve">(b) The disclosure requirement in this subsection only applies to entities owning an interest in real property located in this state.</w:t>
      </w:r>
    </w:p>
    <w:p>
      <w:pPr>
        <w:spacing w:before="0" w:after="0" w:line="408" w:lineRule="exact"/>
        <w:ind w:left="0" w:right="0" w:firstLine="576"/>
        <w:jc w:val="left"/>
      </w:pPr>
      <w:r>
        <w:rPr/>
        <w:t xml:space="preserve">(2) This information must be made available to the department of revenue upon request for the purposes of tracking the transfer of the controlling interest in entities owning real property and to determine when the real estate excise tax is applicable in such cases.</w:t>
      </w:r>
    </w:p>
    <w:p>
      <w:pPr>
        <w:spacing w:before="0" w:after="0" w:line="408" w:lineRule="exact"/>
        <w:ind w:left="0" w:right="0" w:firstLine="576"/>
        <w:jc w:val="left"/>
      </w:pPr>
      <w:r>
        <w:rPr/>
        <w:t xml:space="preserve">(3) For the purposes of this section, "controlling interest" has the same meaning as provided in RCW 82.45.033.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220</w:t>
      </w:r>
      <w:r>
        <w:rPr/>
        <w:t xml:space="preserve"> and 2010 1st sp.s. c 23 s 212 are each amended to read as follows:</w:t>
      </w:r>
    </w:p>
    <w:p>
      <w:pPr>
        <w:spacing w:before="0" w:after="0" w:line="408" w:lineRule="exact"/>
        <w:ind w:left="0" w:right="0" w:firstLine="576"/>
        <w:jc w:val="left"/>
      </w:pPr>
      <w:r>
        <w:rPr/>
        <w:t xml:space="preserve">(1) An organization that fails to report </w:t>
      </w:r>
      <w:r>
        <w:t>((</w:t>
      </w:r>
      <w:r>
        <w:rPr>
          <w:strike/>
        </w:rPr>
        <w:t xml:space="preserve">a transfer of the controlling interest in the organization under RCW 43.07.390 to the secretary of state and is later determined to be subject to real estate excise taxes due to the transfer,</w:t>
      </w:r>
      <w:r>
        <w:t>))</w:t>
      </w:r>
      <w:r>
        <w:rPr/>
        <w:t xml:space="preserve"> </w:t>
      </w:r>
      <w:r>
        <w:rPr>
          <w:u w:val="single"/>
        </w:rPr>
        <w:t xml:space="preserve">to the secretary of state a transfer of an interest in the organization as required under RCW 43.07.390 and the transfer results in a sale as defined in RCW 82.45.010(2)</w:t>
      </w:r>
      <w:r>
        <w:rPr/>
        <w:t xml:space="preserve"> is subject to the provisions of RCW 82.45.100 as well as the evasion penalty in RCW 82.32.090(7).</w:t>
      </w:r>
    </w:p>
    <w:p>
      <w:pPr>
        <w:spacing w:before="0" w:after="0" w:line="408" w:lineRule="exact"/>
        <w:ind w:left="0" w:right="0" w:firstLine="576"/>
        <w:jc w:val="left"/>
      </w:pPr>
      <w:r>
        <w:rPr/>
        <w:t xml:space="preserve">(2) Subsection (1) of this section also applies to the failure to report to the secretary of state the granting of an option to acquire an interest in the organization if the exercise of the option would result in a sale as defined in RCW 82.45.010(2).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2020."</w:t>
      </w:r>
    </w:p>
    <w:p>
      <w:pPr>
        <w:spacing w:before="480" w:after="0" w:line="408" w:lineRule="exact"/>
      </w:pPr>
      <w:r>
        <w:rPr>
          <w:b/>
          <w:u w:val="single"/>
        </w:rPr>
        <w:t xml:space="preserve">SSB 5998</w:t>
      </w:r>
      <w:r>
        <w:t xml:space="preserve"> -</w:t>
      </w:r>
      <w:r>
        <w:t xml:space="preserve"> </w:t>
        <w:t xml:space="preserve">S AMD</w:t>
      </w:r>
      <w:r>
        <w:t xml:space="preserve"> </w:t>
      </w:r>
      <w:r>
        <w:rPr>
          <w:b/>
        </w:rPr>
        <w:t xml:space="preserve">805</w:t>
      </w:r>
    </w:p>
    <w:p>
      <w:pPr>
        <w:spacing w:before="0" w:after="0" w:line="408" w:lineRule="exact"/>
        <w:ind w:left="0" w:right="0" w:firstLine="576"/>
        <w:jc w:val="left"/>
      </w:pPr>
      <w:r>
        <w:rPr/>
        <w:t xml:space="preserve">By Senator Nguyen</w:t>
      </w:r>
    </w:p>
    <w:p>
      <w:pPr>
        <w:jc w:val="right"/>
      </w:pPr>
      <w:r>
        <w:rPr>
          <w:b/>
        </w:rPr>
        <w:t xml:space="preserve">ADOPTED 04/25/2019</w:t>
      </w:r>
    </w:p>
    <w:p>
      <w:pPr>
        <w:spacing w:before="0" w:after="0" w:line="408" w:lineRule="exact"/>
        <w:ind w:left="0" w:right="0" w:firstLine="576"/>
        <w:jc w:val="left"/>
      </w:pPr>
      <w:r>
        <w:rPr/>
        <w:t xml:space="preserve">On page 1, line 2 of the title, after "tax;" strike the remainder of the title and insert "amending RCW 82.45.060, 82.45.033, 43.07.390, and 82.45.220; reenacting and amending RCW 82.45.010; adding new sections to chapter 82.45 RCW; creating a new section; and providing an effective date."</w:t>
      </w:r>
    </w:p>
    <w:p>
      <w:pPr>
        <w:spacing w:before="0" w:after="0" w:line="408" w:lineRule="exact"/>
        <w:ind w:left="0" w:right="0" w:firstLine="576"/>
        <w:jc w:val="left"/>
      </w:pPr>
      <w:r>
        <w:rPr>
          <w:u w:val="single"/>
        </w:rPr>
        <w:t xml:space="preserve">EFFECT:</w:t>
      </w:r>
      <w:r>
        <w:rPr/>
        <w:t xml:space="preserve"> Revises the language with regard to rate structure and selling price thresholds; modifies distributions to revert back to a percentage based approach; and adds "standing timber" to the definition of "timberland."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1d780359a547bb" /></Relationships>
</file>