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938169ce84271" /></Relationships>
</file>

<file path=word/document.xml><?xml version="1.0" encoding="utf-8"?>
<w:document xmlns:w="http://schemas.openxmlformats.org/wordprocessingml/2006/main">
  <w:body>
    <w:p>
      <w:r>
        <w:rPr>
          <w:b/>
        </w:rPr>
        <w:r>
          <w:rPr/>
          <w:t xml:space="preserve">6016</w:t>
        </w:r>
      </w:r>
      <w:r>
        <w:rPr>
          <w:b/>
        </w:rPr>
        <w:t xml:space="preserve"> </w:t>
        <w:t xml:space="preserve">AMS</w:t>
      </w:r>
      <w:r>
        <w:rPr>
          <w:b/>
        </w:rPr>
        <w:t xml:space="preserve"> </w:t>
        <w:r>
          <w:rPr/>
          <w:t xml:space="preserve">LIIA</w:t>
        </w:r>
      </w:r>
      <w:r>
        <w:rPr>
          <w:b/>
        </w:rPr>
        <w:t xml:space="preserve"> </w:t>
        <w:r>
          <w:rPr/>
          <w:t xml:space="preserve">S4445.4</w:t>
        </w:r>
      </w:r>
      <w:r>
        <w:rPr>
          <w:b/>
        </w:rPr>
        <w:t xml:space="preserve"> - NOT FOR FLOOR USE</w:t>
      </w:r>
    </w:p>
    <w:p>
      <w:pPr>
        <w:ind w:left="0" w:right="0" w:firstLine="576"/>
      </w:pPr>
    </w:p>
    <w:p>
      <w:pPr>
        <w:spacing w:before="480" w:after="0" w:line="408" w:lineRule="exact"/>
      </w:pPr>
      <w:r>
        <w:rPr>
          <w:b/>
          <w:u w:val="single"/>
        </w:rPr>
        <w:t xml:space="preserve">SB 6016</w:t>
      </w:r>
      <w:r>
        <w:t xml:space="preserve"> -</w:t>
      </w:r>
      <w:r>
        <w:t xml:space="preserve"> </w:t>
        <w:t xml:space="preserve">S AMD</w:t>
      </w:r>
      <w:r>
        <w:t xml:space="preserve"> </w:t>
      </w:r>
      <w:r>
        <w:rPr>
          <w:b/>
        </w:rPr>
        <w:t xml:space="preserve">779</w:t>
      </w:r>
    </w:p>
    <w:p>
      <w:pPr>
        <w:spacing w:before="0" w:after="0" w:line="408" w:lineRule="exact"/>
        <w:ind w:left="0" w:right="0" w:firstLine="576"/>
        <w:jc w:val="left"/>
      </w:pPr>
      <w:r>
        <w:rPr/>
        <w:t xml:space="preserve">By Senator Liias</w:t>
      </w:r>
    </w:p>
    <w:p>
      <w:pPr>
        <w:jc w:val="right"/>
      </w:pPr>
      <w:r>
        <w:rPr>
          <w:b/>
        </w:rPr>
        <w:t xml:space="preserve">ADOPTED 04/23/2019</w:t>
      </w:r>
    </w:p>
    <w:p>
      <w:pPr>
        <w:spacing w:before="0" w:after="0" w:line="408" w:lineRule="exact"/>
        <w:ind w:left="0" w:right="0" w:firstLine="576"/>
        <w:jc w:val="left"/>
      </w:pPr>
      <w:r>
        <w:rPr/>
        <w:t xml:space="preserve">On page 5, after line 13, insert the following:</w:t>
      </w:r>
    </w:p>
    <w:p>
      <w:pPr>
        <w:spacing w:before="0" w:after="0" w:line="408" w:lineRule="exact"/>
        <w:ind w:left="0" w:right="0" w:firstLine="576"/>
        <w:jc w:val="left"/>
      </w:pPr>
      <w:r>
        <w:rPr/>
        <w:t xml:space="preserve">"</w:t>
      </w:r>
      <w:r>
        <w:rPr>
          <w:u w:val="single"/>
        </w:rPr>
        <w:t xml:space="preserve">(5) If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as a result of the preferential tax rate under RCW 82.04.290(1) is immediately due and payable.</w:t>
      </w:r>
    </w:p>
    <w:p>
      <w:pPr>
        <w:spacing w:before="0" w:after="0" w:line="408" w:lineRule="exact"/>
        <w:ind w:left="0" w:right="0" w:firstLine="576"/>
        <w:jc w:val="left"/>
      </w:pPr>
      <w:r>
        <w:rPr>
          <w:u w:val="single"/>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r>
        <w:rPr/>
        <w:t xml:space="preserve">"</w:t>
      </w:r>
    </w:p>
    <w:p>
      <w:pPr>
        <w:spacing w:before="0" w:after="0" w:line="408" w:lineRule="exact"/>
        <w:ind w:left="0" w:right="0" w:firstLine="576"/>
        <w:jc w:val="left"/>
      </w:pPr>
      <w:r>
        <w:rPr>
          <w:u w:val="single"/>
        </w:rPr>
        <w:t xml:space="preserve">EFFECT:</w:t>
      </w:r>
      <w:r>
        <w:rPr/>
        <w:t xml:space="preserve"> Requires the economic benefit of the preferential tax rate for the prior ten years to be repaid if a business no longer maintains the required workforce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cd84206a2485c" /></Relationships>
</file>