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dde78f774d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S5958.1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02/12/2020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16, line 30, strike all of section 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96, beginning on line 24, strike all of section 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6028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02/12/2020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4 of the title, after "9.38.060," strike "9A.72.085,"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18 of the title, after "RCW;"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19 of the title, after "19.400.030" strike "; and providing an expiration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updates to RCW 9A.72.085 (section 25) as the statute will expire on July 1, 2021, and the courts need the existing language until that 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951d120b4e2d" /></Relationships>
</file>