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9be6841df4c1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6040-S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S6604.1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6040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ADOPTED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26, after "must be" strike all material through "and" on line 27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32, after "and" strike "their service needs" and insert "the number of persons contacted who are currently interested in receiving a paid service from the developmental disabilities administration"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34, strike "2020" and insert "2021"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the Basic Plus and Individual and Family Services waiver must be budgeted as maintenance level costs. Clarifies that DSHS, subject to appropriation, must update the no-paid services caseload with a current headcount and the number of individuals who are currently interested in receiving a paid service. The timeline for the update of the no-paid services caseload is extended by one year to December 1, 2021.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a9e9643464fb9" /></Relationships>
</file>