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9be6841df4c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S6604.1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26, after "must be" strike all material through "and"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"and" strike "their service needs" and insert "the number of persons contacted who are currently interested in receiving a paid service from the developmental disabilities administration"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strike "2020"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Basic Plus and Individual and Family Services waiver must be budgeted as maintenance level costs. Clarifies that DSHS, subject to appropriation, must update the no-paid services caseload with a current headcount and the number of individuals who are currently interested in receiving a paid service. The timeline for the update of the no-paid services caseload is extended by one year to December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a9e9643464fb9" /></Relationships>
</file>