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0534fa18246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6156-S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S6693.1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6156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"annually," insert "</w:t>
      </w:r>
      <w:r>
        <w:rPr>
          <w:u w:val="single"/>
        </w:rPr>
        <w:t xml:space="preserve">except for personalized collector vehicle license plates,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8, after "</w:t>
      </w:r>
      <w:r>
        <w:rPr>
          <w:u w:val="single"/>
        </w:rPr>
        <w:t xml:space="preserve">registrations</w:t>
      </w:r>
      <w:r>
        <w:rPr/>
        <w:t xml:space="preserve">" insert "</w:t>
      </w:r>
      <w:r>
        <w:rPr>
          <w:u w:val="single"/>
        </w:rPr>
        <w:t xml:space="preserve">on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20, after "</w:t>
      </w:r>
      <w:r>
        <w:rPr>
          <w:u w:val="single"/>
        </w:rPr>
        <w:t xml:space="preserve">registrations</w:t>
      </w:r>
      <w:r>
        <w:rPr/>
        <w:t xml:space="preserve">" insert "</w:t>
      </w:r>
      <w:r>
        <w:rPr>
          <w:u w:val="single"/>
        </w:rPr>
        <w:t xml:space="preserve">on 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personalization fee for collector vehicles is paid only one time. Specifies that the increase in the age threshold to qualify as a collector vehicle from 30 years to 40 years is "on or after" July 1, 2026.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d2ef4d88d44fb" /></Relationships>
</file>