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8065c7de41c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RAND</w:t>
        </w:r>
      </w:r>
      <w:r>
        <w:rPr>
          <w:b/>
        </w:rPr>
        <w:t xml:space="preserve"> </w:t>
        <w:r>
          <w:rPr/>
          <w:t xml:space="preserve">S6862.1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6209</w:t>
      </w:r>
      <w:r>
        <w:t xml:space="preserve"> -</w:t>
      </w:r>
      <w:r>
        <w:t xml:space="preserve"> </w:t>
        <w:t xml:space="preserve">S AMD TO S AMD (S-6651.1/20)</w:t>
      </w:r>
      <w:r>
        <w:t xml:space="preserve"> </w:t>
      </w:r>
      <w:r>
        <w:rPr>
          <w:b/>
        </w:rPr>
        <w:t xml:space="preserve">1168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Randall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35,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the event of a strike or a lockout, a nurse may only practice in the affected facility if the nurse holds a license issued by the commission. A nurse may not use a multistate license for the purpose of working in an affected facility in the event of a strike or a lockout unless that multistate license was issued by the commission under chapter 18.-- RCW (the new chapter created in section 25 of this act)."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 the event of strike or lockout at a facility, requires a nurse to hold a license issued by the Nursing Care Quality Assurance Commission to work in that facility.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be78eba14495" /></Relationships>
</file>