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387af016045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6256-S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S6087.2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6256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30,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149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city that requires a heating oil tank owner to replace the heating oil tank is solely liable for any accidental release."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6256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 of the title, after "adding" strike "a new section" and insert "new sections"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city that requires a heating oil tank owner to replace the heating oil tank is liable for any accidental release of heating oil.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efa43d9114a86" /></Relationships>
</file>