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9c192e31f44ae" /></Relationships>
</file>

<file path=word/document.xml><?xml version="1.0" encoding="utf-8"?>
<w:document xmlns:w="http://schemas.openxmlformats.org/wordprocessingml/2006/main">
  <w:body>
    <w:p>
      <w:r>
        <w:rPr>
          <w:b/>
        </w:rPr>
        <w:r>
          <w:rPr/>
          <w:t xml:space="preserve">6378-S</w:t>
        </w:r>
      </w:r>
      <w:r>
        <w:rPr>
          <w:b/>
        </w:rPr>
        <w:t xml:space="preserve"> </w:t>
        <w:t xml:space="preserve">AMS</w:t>
      </w:r>
      <w:r>
        <w:rPr>
          <w:b/>
        </w:rPr>
        <w:t xml:space="preserve"> </w:t>
        <w:r>
          <w:rPr/>
          <w:t xml:space="preserve">KUDE</w:t>
        </w:r>
      </w:r>
      <w:r>
        <w:rPr>
          <w:b/>
        </w:rPr>
        <w:t xml:space="preserve"> </w:t>
        <w:r>
          <w:rPr/>
          <w:t xml:space="preserve">S6702.1</w:t>
        </w:r>
      </w:r>
      <w:r>
        <w:rPr>
          <w:b/>
        </w:rPr>
        <w:t xml:space="preserve"> - NOT FOR FLOOR USE</w:t>
      </w:r>
    </w:p>
    <w:p>
      <w:pPr>
        <w:ind w:left="0" w:right="0" w:firstLine="576"/>
      </w:pPr>
    </w:p>
    <w:p>
      <w:pPr>
        <w:spacing w:before="480" w:after="0" w:line="408" w:lineRule="exact"/>
      </w:pPr>
      <w:r>
        <w:rPr>
          <w:b/>
          <w:u w:val="single"/>
        </w:rPr>
        <w:t xml:space="preserve">SSB 6378</w:t>
      </w:r>
      <w:r>
        <w:t xml:space="preserve"> -</w:t>
      </w:r>
      <w:r>
        <w:t xml:space="preserve"> </w:t>
        <w:t xml:space="preserve">S AMD</w:t>
      </w:r>
      <w:r>
        <w:t xml:space="preserve"> </w:t>
      </w:r>
      <w:r>
        <w:rPr>
          <w:b/>
        </w:rPr>
        <w:t xml:space="preserve">1062</w:t>
      </w:r>
    </w:p>
    <w:p>
      <w:pPr>
        <w:spacing w:before="0" w:after="0" w:line="408" w:lineRule="exact"/>
        <w:ind w:left="0" w:right="0" w:firstLine="576"/>
        <w:jc w:val="left"/>
      </w:pPr>
      <w:r>
        <w:rPr/>
        <w:t xml:space="preserve">By Senator Kuderer</w:t>
      </w:r>
    </w:p>
    <w:p>
      <w:pPr>
        <w:jc w:val="right"/>
      </w:pPr>
      <w:r>
        <w:rPr>
          <w:b/>
        </w:rPr>
        <w:t xml:space="preserve">ADOPTED AS AMENDED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landlords can issue pay or vacate notices to tenants whose primary source of income is regular, monthly governmental assistance,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2011 c 132 s 4 are each amended to read as follows:</w:t>
      </w:r>
    </w:p>
    <w:p>
      <w:pPr>
        <w:spacing w:before="0" w:after="0" w:line="408" w:lineRule="exact"/>
        <w:ind w:left="0" w:right="0" w:firstLine="576"/>
        <w:jc w:val="left"/>
      </w:pPr>
      <w:r>
        <w:rPr/>
        <w:t xml:space="preserve">(1) A landlord </w:t>
      </w:r>
      <w:r>
        <w:rPr>
          <w:u w:val="single"/>
        </w:rPr>
        <w:t xml:space="preserve">may refuse to accept cash for any payment of rent made by a tenant, but</w:t>
      </w:r>
      <w:r>
        <w:rPr/>
        <w:t xml:space="preserve"> shall provide a receipt for any payment made by a tenant in the form of cash </w:t>
      </w:r>
      <w:r>
        <w:rPr>
          <w:u w:val="single"/>
        </w:rPr>
        <w:t xml:space="preserve">when the landlord accepts cash</w:t>
      </w:r>
      <w:r>
        <w:rPr/>
        <w:t xml:space="preserve">.</w:t>
      </w:r>
    </w:p>
    <w:p>
      <w:pPr>
        <w:spacing w:before="0" w:after="0" w:line="408" w:lineRule="exact"/>
        <w:ind w:left="0" w:right="0" w:firstLine="576"/>
        <w:jc w:val="left"/>
      </w:pPr>
      <w:r>
        <w:rPr/>
        <w:t xml:space="preserve">(2)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entry of a judgment or until five court days have expired after entry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t>((</w:t>
      </w:r>
      <w:r>
        <w:rPr>
          <w:strike/>
        </w:rPr>
        <w:t xml:space="preserve">appear</w:t>
      </w:r>
      <w:r>
        <w:t>))</w:t>
      </w:r>
      <w:r>
        <w:rPr/>
        <w:t xml:space="preserve"> </w:t>
      </w:r>
      <w:r>
        <w:rPr>
          <w:u w:val="single"/>
        </w:rPr>
        <w:t xml:space="preserve">respond to a pleading or other notice requiring a response authorized under this chapter</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w:t>
      </w:r>
      <w:r>
        <w:rPr>
          <w:u w:val="single"/>
        </w:rPr>
        <w:t xml:space="preserve">pursuant to RCW 59.18.410(3)</w:t>
      </w:r>
      <w:r>
        <w:rPr/>
        <w:t xml:space="preserve">.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w:t>
      </w:r>
      <w:r>
        <w:rPr>
          <w:u w:val="single"/>
        </w:rPr>
        <w:t xml:space="preserve">The tenant may propose that the date rent is due in the rental agreement be altered to a different due date of the month if the request is submitted in writing and the tenant can demonstrate that his or her primary source of income is a regular, monthly source of governmental assistance that is not received until after the date rent is due. The landlord shall agree to such a proposal if the proposed new due date is not more than five days later than the original rent due date. If the tenant can demonstrate that their source of regular, monthly governmental assistance is not received until more than five days after the original rent due date, a landlord may retain the original rent due date but must provide the tenant a one-time option to pay one month's rent in equal installments over three months. Nothing in this section precludes the landlord and the tenant from agreeing to a different rent due date or other arrangements.</w:t>
      </w:r>
    </w:p>
    <w:p>
      <w:pPr>
        <w:spacing w:before="0" w:after="0" w:line="408" w:lineRule="exact"/>
        <w:ind w:left="0" w:right="0" w:firstLine="576"/>
        <w:jc w:val="left"/>
      </w:pPr>
      <w:r>
        <w:rPr>
          <w:u w:val="single"/>
        </w:rPr>
        <w:t xml:space="preserve">(3)</w:t>
      </w:r>
      <w:r>
        <w:rPr/>
        <w:t xml:space="preserve"> Except for termination of tenancy and an increase in the amount of rent, after thirty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59.18.410(3)(d)(ii)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SSB 6378</w:t>
      </w:r>
      <w:r>
        <w:t xml:space="preserve"> -</w:t>
      </w:r>
      <w:r>
        <w:t xml:space="preserve"> </w:t>
        <w:t xml:space="preserve">S AMD</w:t>
      </w:r>
      <w:r>
        <w:t xml:space="preserve"> </w:t>
      </w:r>
      <w:r>
        <w:rPr>
          <w:b/>
        </w:rPr>
        <w:t xml:space="preserve">1062</w:t>
      </w:r>
    </w:p>
    <w:p>
      <w:pPr>
        <w:spacing w:before="0" w:after="0" w:line="408" w:lineRule="exact"/>
        <w:ind w:left="0" w:right="0" w:firstLine="576"/>
        <w:jc w:val="left"/>
      </w:pPr>
      <w:r>
        <w:rPr/>
        <w:t xml:space="preserve">By Senator Kuderer</w:t>
      </w:r>
    </w:p>
    <w:p>
      <w:pPr>
        <w:jc w:val="right"/>
      </w:pPr>
      <w:r>
        <w:rPr>
          <w:b/>
        </w:rPr>
        <w:t xml:space="preserve">ADOPTED AS AMENDED 02/19/2020</w:t>
      </w:r>
    </w:p>
    <w:p>
      <w:pPr>
        <w:spacing w:before="0" w:after="0" w:line="408" w:lineRule="exact"/>
        <w:ind w:left="0" w:right="0" w:firstLine="576"/>
        <w:jc w:val="left"/>
      </w:pPr>
      <w:r>
        <w:rPr/>
        <w:t xml:space="preserve">On page 1, line 1 of the title, after "protections;" strike the remainder of the title and insert "amending RCW 59.18.057, 59.18.063, 59.18.365, 59.18.410, 59.18.230, 59.18.290, 59.18.140, and 43.31.605; creating a new section; and declaring an emergency."</w:t>
      </w:r>
    </w:p>
    <w:p>
      <w:pPr>
        <w:spacing w:before="0" w:after="0" w:line="408" w:lineRule="exact"/>
        <w:ind w:left="0" w:right="0" w:firstLine="576"/>
        <w:jc w:val="left"/>
      </w:pPr>
      <w:r>
        <w:rPr>
          <w:u w:val="single"/>
        </w:rPr>
        <w:t xml:space="preserve">EFFECT:</w:t>
      </w:r>
      <w:r>
        <w:rPr/>
        <w:t xml:space="preserve"> (1) Clarifies when landlords must accept a pledge of emergency rental assistance and for how much of the rent owing if assistance is received either before or after any pay or vacate notice.</w:t>
      </w:r>
    </w:p>
    <w:p>
      <w:pPr>
        <w:spacing w:before="0" w:after="0" w:line="408" w:lineRule="exact"/>
        <w:ind w:left="0" w:right="0" w:firstLine="576"/>
        <w:jc w:val="left"/>
      </w:pPr>
      <w:r>
        <w:rPr/>
        <w:t xml:space="preserve">(2) Requires landlords to suspend court action for 7 court days to allow for payment of any assistance funds.</w:t>
      </w:r>
    </w:p>
    <w:p>
      <w:pPr>
        <w:spacing w:before="0" w:after="0" w:line="408" w:lineRule="exact"/>
        <w:ind w:left="0" w:right="0" w:firstLine="576"/>
        <w:jc w:val="left"/>
      </w:pPr>
      <w:r>
        <w:rPr/>
        <w:t xml:space="preserve">(3) Provides that landlords are not required to enter into additional conditions not related to the provision of necessary payment information and documentation if they accept assistance funds.</w:t>
      </w:r>
    </w:p>
    <w:p>
      <w:pPr>
        <w:spacing w:before="0" w:after="0" w:line="408" w:lineRule="exact"/>
        <w:ind w:left="0" w:right="0" w:firstLine="576"/>
        <w:jc w:val="left"/>
      </w:pPr>
      <w:r>
        <w:rPr/>
        <w:t xml:space="preserve">(4) Requires a court to serve an ex parte order to stay a writ of restitution by alternative means to all parties to provide notice of the court date.</w:t>
      </w:r>
    </w:p>
    <w:p>
      <w:pPr>
        <w:spacing w:before="0" w:after="0" w:line="408" w:lineRule="exact"/>
        <w:ind w:left="0" w:right="0" w:firstLine="576"/>
        <w:jc w:val="left"/>
      </w:pPr>
      <w:r>
        <w:rPr/>
        <w:t xml:space="preserve">(5) Removes failure of a tenant to appear at a subsequent hearing as a reason for when landlord's may not be awarded reasonable attorneys' fees.</w:t>
      </w:r>
    </w:p>
    <w:p>
      <w:pPr>
        <w:spacing w:before="0" w:after="0" w:line="408" w:lineRule="exact"/>
        <w:ind w:left="0" w:right="0" w:firstLine="576"/>
        <w:jc w:val="left"/>
      </w:pPr>
      <w:r>
        <w:rPr/>
        <w:t xml:space="preserve">(6) Requires landlords to accept a proposed new rent due date if a tenant submits a request to do so in writing and can demonstrate their primary source of income is regular, monthly governmental assistance, but only if the new due date is not more than 5 days after the rent due date in the lease agreement. Authorizes landlords to retain the original due date upon such a request if the tenant's governmental assistance is not received until more than 5 days after rent is due, but requires the landlord to provide the tenant a one-time option to pay one month's rent in equal installments over three months.</w:t>
      </w:r>
    </w:p>
    <w:p>
      <w:pPr>
        <w:spacing w:before="0" w:after="0" w:line="408" w:lineRule="exact"/>
        <w:ind w:left="0" w:right="0" w:firstLine="576"/>
        <w:jc w:val="left"/>
      </w:pPr>
      <w:r>
        <w:rPr/>
        <w:t xml:space="preserve">(7) Authorizes landlords to refuse to accept cash for any payment of rent made by a tenant.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6f38e1c204f58" /></Relationships>
</file>