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02b83ae54647ed" /></Relationships>
</file>

<file path=word/document.xml><?xml version="1.0" encoding="utf-8"?>
<w:document xmlns:w="http://schemas.openxmlformats.org/wordprocessingml/2006/main">
  <w:body>
    <w:p>
      <w:r>
        <w:rPr>
          <w:b/>
        </w:rPr>
        <w:r>
          <w:rPr/>
          <w:t xml:space="preserve">6518-S2</w:t>
        </w:r>
      </w:r>
      <w:r>
        <w:rPr>
          <w:b/>
        </w:rPr>
        <w:t xml:space="preserve"> </w:t>
        <w:t xml:space="preserve">AMS</w:t>
      </w:r>
      <w:r>
        <w:rPr>
          <w:b/>
        </w:rPr>
        <w:t xml:space="preserve"> </w:t>
        <w:r>
          <w:rPr/>
          <w:t xml:space="preserve">ROLF</w:t>
        </w:r>
      </w:r>
      <w:r>
        <w:rPr>
          <w:b/>
        </w:rPr>
        <w:t xml:space="preserve"> </w:t>
        <w:r>
          <w:rPr/>
          <w:t xml:space="preserve">S6679.1</w:t>
        </w:r>
      </w:r>
      <w:r>
        <w:rPr>
          <w:b/>
        </w:rPr>
        <w:t xml:space="preserve"> - NOT FOR FLOOR USE</w:t>
      </w:r>
    </w:p>
    <w:p>
      <w:pPr>
        <w:ind w:left="0" w:right="0" w:firstLine="576"/>
      </w:pPr>
    </w:p>
    <w:p>
      <w:pPr>
        <w:spacing w:before="480" w:after="0" w:line="408" w:lineRule="exact"/>
      </w:pPr>
      <w:r>
        <w:rPr>
          <w:b/>
          <w:u w:val="single"/>
        </w:rPr>
        <w:t xml:space="preserve">2SSB 6518</w:t>
      </w:r>
      <w:r>
        <w:t xml:space="preserve"> -</w:t>
      </w:r>
      <w:r>
        <w:t xml:space="preserve"> </w:t>
        <w:t xml:space="preserve">S AMD</w:t>
      </w:r>
      <w:r>
        <w:t xml:space="preserve"> </w:t>
      </w:r>
      <w:r>
        <w:rPr>
          <w:b/>
        </w:rPr>
        <w:t xml:space="preserve">1059</w:t>
      </w:r>
    </w:p>
    <w:p>
      <w:pPr>
        <w:spacing w:before="0" w:after="0" w:line="408" w:lineRule="exact"/>
        <w:ind w:left="0" w:right="0" w:firstLine="576"/>
        <w:jc w:val="left"/>
      </w:pPr>
      <w:r>
        <w:rPr/>
        <w:t xml:space="preserve">By Senator Rolfes</w:t>
      </w:r>
    </w:p>
    <w:p>
      <w:pPr>
        <w:jc w:val="right"/>
      </w:pPr>
      <w:r>
        <w:rPr>
          <w:b/>
        </w:rPr>
        <w:t xml:space="preserve">ADOPTED 02/17/2020</w:t>
      </w:r>
    </w:p>
    <w:p>
      <w:pPr>
        <w:spacing w:before="0" w:after="0" w:line="408" w:lineRule="exact"/>
        <w:ind w:left="0" w:right="0" w:firstLine="576"/>
        <w:jc w:val="left"/>
      </w:pPr>
      <w:r>
        <w:rPr/>
        <w:t xml:space="preserve">On page 3, line 10, after "feet" insert "or a smaller buffer of variable width, established by rule using best available technology and best management practices specific to minimizing potential drift,"</w:t>
      </w:r>
    </w:p>
    <w:p>
      <w:pPr>
        <w:spacing w:before="0" w:after="0" w:line="408" w:lineRule="exact"/>
        <w:ind w:left="0" w:right="0" w:firstLine="576"/>
        <w:jc w:val="left"/>
      </w:pPr>
      <w:r>
        <w:rPr/>
        <w:t xml:space="preserve">On page 3, line 20, after "label" insert "consistent with federal law"</w:t>
      </w:r>
    </w:p>
    <w:p>
      <w:pPr>
        <w:spacing w:before="0" w:after="0" w:line="408" w:lineRule="exact"/>
        <w:ind w:left="0" w:right="0" w:firstLine="576"/>
        <w:jc w:val="left"/>
      </w:pPr>
      <w:r>
        <w:rPr/>
        <w:t xml:space="preserve">On page 4, line 2, after "exempt" strike "from the ban"</w:t>
      </w:r>
    </w:p>
    <w:p>
      <w:pPr>
        <w:spacing w:before="0" w:after="0" w:line="408" w:lineRule="exact"/>
        <w:ind w:left="0" w:right="0" w:firstLine="576"/>
        <w:jc w:val="left"/>
      </w:pPr>
      <w:r>
        <w:rPr>
          <w:u w:val="single"/>
        </w:rPr>
        <w:t xml:space="preserve">EFFECT:</w:t>
      </w:r>
      <w:r>
        <w:rPr/>
        <w:t xml:space="preserve"> Allows an emergency permit to have a smaller buffer, established by rule using best available technology and best management practices specific to minimizing potential drift. Provides that the label provided to homes, businesses, neighbors, and the handlers' and applicators' families is consistent with federal law. Establishes that the funds provided to the Washington State Commission on Pesticide Registration may be used with any agricultural grower groups presently using chlorpyrifos, rather than only those exempt from the ban.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18e33edc114a25" /></Relationships>
</file>