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5f7088601b4abf" /></Relationships>
</file>

<file path=word/document.xml><?xml version="1.0" encoding="utf-8"?>
<w:document xmlns:w="http://schemas.openxmlformats.org/wordprocessingml/2006/main">
  <w:body>
    <w:p>
      <w:r>
        <w:t>H-2088.1</w:t>
      </w:r>
    </w:p>
    <w:p>
      <w:pPr>
        <w:jc w:val="center"/>
      </w:pPr>
      <w:r>
        <w:t>_______________________________________________</w:t>
      </w:r>
    </w:p>
    <w:p/>
    <w:p>
      <w:pPr>
        <w:jc w:val="center"/>
      </w:pPr>
      <w:r>
        <w:rPr>
          <w:b/>
        </w:rPr>
        <w:t>SUBSTITUTE HOUSE BILL 1199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Cody, DeBolt, Jinkins, Harris, Tharinger, Caldier, Robinson, Macri, Schmick, Stonier, Slatter, Wylie, Tarleton, Frame, Pollet, and Riccelli)</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for working individuals with disabilities; amending RCW 74.09.540;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540</w:t>
      </w:r>
      <w:r>
        <w:rPr/>
        <w:t xml:space="preserve"> and 2018 c 201 s 7019 are each amended to read as follows:</w:t>
      </w:r>
    </w:p>
    <w:p>
      <w:pPr>
        <w:spacing w:before="0" w:after="0" w:line="408" w:lineRule="exact"/>
        <w:ind w:left="0" w:right="0" w:firstLine="576"/>
        <w:jc w:val="left"/>
      </w:pPr>
      <w:r>
        <w:rPr/>
        <w:t xml:space="preserve">(1) It is the intent of the legislature to remove barriers to employment for individuals with disabilities by providing medical assistance to working individuals with disabilities through a buy-in program in accordance with section 1902(a)(10)(A)(ii) of the social security act and eligibility and cost-sharing requirements established by the authority.</w:t>
      </w:r>
    </w:p>
    <w:p>
      <w:pPr>
        <w:spacing w:before="0" w:after="0" w:line="408" w:lineRule="exact"/>
        <w:ind w:left="0" w:right="0" w:firstLine="576"/>
        <w:jc w:val="left"/>
      </w:pPr>
      <w:r>
        <w:rPr/>
        <w:t xml:space="preserve">(2) The authority shall establish </w:t>
      </w:r>
      <w:r>
        <w:t>((</w:t>
      </w:r>
      <w:r>
        <w:rPr>
          <w:strike/>
        </w:rPr>
        <w:t xml:space="preserve">income, resource, and</w:t>
      </w:r>
      <w:r>
        <w:t>))</w:t>
      </w:r>
      <w:r>
        <w:rPr/>
        <w:t xml:space="preserve"> cost-sharing requirements for the buy-in program in accordance with federal law and any conditions or limitations specified in the omnibus appropriations act. The authority shall establish and modify eligibility and cost-sharing requirements in order to administer the program within available funds. </w:t>
      </w:r>
      <w:r>
        <w:rPr>
          <w:u w:val="single"/>
        </w:rPr>
        <w:t xml:space="preserve">The authority may consider a person's income when establishing cost-sharing requirements. The authority may not establish eligibility restrictions for the buy-in program based upon a person's income or maximum age.</w:t>
      </w:r>
      <w:r>
        <w:rPr/>
        <w:t xml:space="preserve"> The authority shall make every effort to coordinate benefits with employer-sponsored coverage available to the working individuals with disabilities receiving benefits under this chapter or other applicable law.</w:t>
      </w:r>
    </w:p>
    <w:p>
      <w:pPr>
        <w:spacing w:before="0" w:after="0" w:line="408" w:lineRule="exact"/>
        <w:ind w:left="0" w:right="0" w:firstLine="576"/>
        <w:jc w:val="left"/>
      </w:pPr>
      <w:r>
        <w:rPr>
          <w:u w:val="single"/>
        </w:rPr>
        <w:t xml:space="preserve">(3) The authority shall seek federal approval to exclude resources accumulated in a separate account that results from earnings during an individual's enrollment in the buy-in program when determining the individual's subsequent eligibility for another medical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94d40d5a545749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afc5a58e8542df" /><Relationship Type="http://schemas.openxmlformats.org/officeDocument/2006/relationships/footer" Target="/word/footer1.xml" Id="R94d40d5a5457498c" /></Relationships>
</file>