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c69960bec450d" /></Relationships>
</file>

<file path=word/document.xml><?xml version="1.0" encoding="utf-8"?>
<w:document xmlns:w="http://schemas.openxmlformats.org/wordprocessingml/2006/main">
  <w:body>
    <w:p>
      <w:r>
        <w:t>H-0351.1</w:t>
      </w:r>
    </w:p>
    <w:p>
      <w:pPr>
        <w:jc w:val="center"/>
      </w:pPr>
      <w:r>
        <w:t>_______________________________________________</w:t>
      </w:r>
    </w:p>
    <w:p/>
    <w:p>
      <w:pPr>
        <w:jc w:val="center"/>
      </w:pPr>
      <w:r>
        <w:rPr>
          <w:b/>
        </w:rPr>
        <w:t>HOUSE BILL 1224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Macri, Ryu, Peterson, Frame, Tharinger, Bergquist, Gregerson, Jinkins, Ortiz-Self, Lovick, Doglio, Stanford, Appleton, Slatter, and Wylie</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and verify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 AND DATA.</w:t>
      </w:r>
      <w:r>
        <w:t xml:space="preserve">  </w:t>
      </w:r>
      <w:r>
        <w:rPr/>
        <w:t xml:space="preserve">(1) By March 1st of each year, an issuer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thirty-day supply, whichever period is longer; or (ii) is currently on the market, is manufactured by a covered manufacturer, and has a wholesale acquisition cost of more than forty dollars for a course of treatment,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(b) "Qualifying price increase" means a price increase described in (a)(ii)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w:t>
      </w:r>
    </w:p>
    <w:p>
      <w:pPr>
        <w:spacing w:before="0" w:after="0" w:line="408" w:lineRule="exact"/>
        <w:ind w:left="0" w:right="0" w:firstLine="576"/>
        <w:jc w:val="left"/>
      </w:pPr>
      <w:r>
        <w:rPr/>
        <w:t xml:space="preserve">(a) The introduction of a covered drug, as defined in section 5 of this act, to the market; or</w:t>
      </w:r>
    </w:p>
    <w:p>
      <w:pPr>
        <w:spacing w:before="0" w:after="0" w:line="408" w:lineRule="exact"/>
        <w:ind w:left="0" w:right="0" w:firstLine="576"/>
        <w:jc w:val="left"/>
      </w:pPr>
      <w:r>
        <w:rPr/>
        <w:t xml:space="preserve">(b) A qualifying price increase for a covered drug, as defined in section 5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office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OFFICE.</w:t>
      </w:r>
      <w:r>
        <w:t xml:space="preserve">  </w:t>
      </w:r>
      <w:r>
        <w:rPr/>
        <w:t xml:space="preserve">(1) The data organization must compile the data submitted by issuers under section 4 of this act and manufacturers under section 5 of this act and submit the data to the office in one report.</w:t>
      </w:r>
    </w:p>
    <w:p>
      <w:pPr>
        <w:spacing w:before="0" w:after="0" w:line="408" w:lineRule="exact"/>
        <w:ind w:left="0" w:right="0" w:firstLine="576"/>
        <w:jc w:val="left"/>
      </w:pPr>
      <w:r>
        <w:rPr/>
        <w:t xml:space="preserve">(2) The office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office shall publish the report on its web site.</w:t>
      </w:r>
    </w:p>
    <w:p>
      <w:pPr>
        <w:spacing w:before="0" w:after="0" w:line="408" w:lineRule="exact"/>
        <w:ind w:left="0" w:right="0" w:firstLine="576"/>
        <w:jc w:val="left"/>
      </w:pPr>
      <w:r>
        <w:rPr/>
        <w:t xml:space="preserve">(4) The office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office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office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(7) By November 1, 2020, the office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976c3f7e5e2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1a84d79e14eec" /><Relationship Type="http://schemas.openxmlformats.org/officeDocument/2006/relationships/footer" Target="/word/footer1.xml" Id="Rd976c3f7e5e2463b" /></Relationships>
</file>