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397b8aff54675" /></Relationships>
</file>

<file path=word/document.xml><?xml version="1.0" encoding="utf-8"?>
<w:document xmlns:w="http://schemas.openxmlformats.org/wordprocessingml/2006/main">
  <w:body>
    <w:p>
      <w:r>
        <w:t>H-0421.1</w:t>
      </w:r>
    </w:p>
    <w:p>
      <w:pPr>
        <w:jc w:val="center"/>
      </w:pPr>
      <w:r>
        <w:t>_______________________________________________</w:t>
      </w:r>
    </w:p>
    <w:p/>
    <w:p>
      <w:pPr>
        <w:jc w:val="center"/>
      </w:pPr>
      <w:r>
        <w:rPr>
          <w:b/>
        </w:rPr>
        <w:t>HOUSE BILL 1274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01/17/19.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and amending RCW 26.09.015, 26.09.187, 26.09.197, 26.09.260, and 2.56.180.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 </w:t>
      </w:r>
      <w:r>
        <w:rPr>
          <w:u w:val="single"/>
        </w:rPr>
        <w:t xml:space="preserve">Each superior court shall create and provide a mediation form that allows the parties to indicate the issues on which mediation is being requested, the available times the parties are able to participate in mediation, and any issue or issues for which a party denies a request for mediation. A copy of the mediation form must be submitted to the court with the results of any mediation or upon filing a request for a court hearing.</w:t>
      </w:r>
    </w:p>
    <w:p>
      <w:pPr>
        <w:spacing w:before="0" w:after="0" w:line="408" w:lineRule="exact"/>
        <w:ind w:left="0" w:right="0" w:firstLine="576"/>
        <w:jc w:val="left"/>
      </w:pPr>
      <w:r>
        <w:rPr>
          <w:u w:val="single"/>
        </w:rPr>
        <w:t xml:space="preserve">(4)</w:t>
      </w:r>
      <w:r>
        <w:rPr/>
        <w:t xml:space="preserve">(a)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w:t>
      </w:r>
      <w:r>
        <w:t>((</w:t>
      </w:r>
      <w:r>
        <w:rPr>
          <w:strike/>
        </w:rPr>
        <w:t xml:space="preserve">and</w:t>
      </w:r>
      <w:r>
        <w:t>))</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r>
        <w:rPr>
          <w:u w:val="single"/>
        </w:rPr>
        <w:t xml:space="preserve">; and</w:t>
      </w:r>
    </w:p>
    <w:p>
      <w:pPr>
        <w:spacing w:before="0" w:after="0" w:line="408" w:lineRule="exact"/>
        <w:ind w:left="0" w:right="0" w:firstLine="576"/>
        <w:jc w:val="left"/>
      </w:pPr>
      <w:r>
        <w:rPr>
          <w:u w:val="single"/>
        </w:rPr>
        <w:t xml:space="preserve">(d) Whether there are any issues for which mediation should not be required based on a party's unwillingness to engage in mediation on the issue or issues</w:t>
      </w:r>
      <w:r>
        <w:rPr/>
        <w:t xml:space="preserve">.</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w:t>
      </w:r>
      <w:r>
        <w:t>((</w:t>
      </w:r>
      <w:r>
        <w:rPr>
          <w:strike/>
        </w:rPr>
        <w:t xml:space="preserve">is opposed to mutual decision making, and such opposition is reasonable based on the criteria in (c) of this subsection</w:t>
      </w:r>
      <w:r>
        <w:t>))</w:t>
      </w:r>
      <w:r>
        <w:rPr/>
        <w:t xml:space="preserve"> </w:t>
      </w:r>
      <w:r>
        <w:rPr>
          <w:u w:val="single"/>
        </w:rPr>
        <w:t xml:space="preserve">knowingly and voluntarily agrees to concede decision-making authority to the other parent. The court shall verify that any voluntary concession of decision-making authority is of that parent's own volition</w:t>
      </w:r>
      <w:r>
        <w:rPr/>
        <w:t xml:space="preserve">.</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w:t>
      </w:r>
      <w:r>
        <w:t>((</w:t>
      </w:r>
      <w:r>
        <w:rPr>
          <w:strike/>
        </w:rPr>
        <w:t xml:space="preserve">the parents have</w:t>
      </w:r>
      <w:r>
        <w:t>))</w:t>
      </w:r>
      <w:r>
        <w:rPr/>
        <w:t xml:space="preserve"> </w:t>
      </w:r>
      <w:r>
        <w:rPr>
          <w:u w:val="single"/>
        </w:rPr>
        <w:t xml:space="preserve">each parent has</w:t>
      </w:r>
      <w:r>
        <w:rPr/>
        <w:t xml:space="preserve"> a demonstrated ability</w:t>
      </w:r>
      <w:r>
        <w:rPr>
          <w:u w:val="single"/>
        </w:rPr>
        <w:t xml:space="preserve">, interest,</w:t>
      </w:r>
      <w:r>
        <w:rPr/>
        <w:t xml:space="preserve"> and desire to cooperate with </w:t>
      </w:r>
      <w:r>
        <w:t>((</w:t>
      </w:r>
      <w:r>
        <w:rPr>
          <w:strike/>
        </w:rPr>
        <w:t xml:space="preserve">one another</w:t>
      </w:r>
      <w:r>
        <w:t>))</w:t>
      </w:r>
      <w:r>
        <w:rPr/>
        <w:t xml:space="preserve"> </w:t>
      </w:r>
      <w:r>
        <w:rPr>
          <w:u w:val="single"/>
        </w:rPr>
        <w:t xml:space="preserve">the other parent</w:t>
      </w:r>
      <w:r>
        <w:rPr/>
        <w:t xml:space="preserve">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u w:val="single"/>
        </w:rPr>
        <w:t xml:space="preserve">(d) The court shall not presume that a parent, solely because of his or her sex, is more qualified than the other parent to make decisions regarding the child's care, education, health care, and religious upbringing.</w:t>
      </w:r>
    </w:p>
    <w:p>
      <w:pPr>
        <w:spacing w:before="0" w:after="0" w:line="408" w:lineRule="exact"/>
        <w:ind w:left="0" w:right="0" w:firstLine="576"/>
        <w:jc w:val="left"/>
      </w:pPr>
      <w:r>
        <w:rPr>
          <w:u w:val="single"/>
        </w:rPr>
        <w:t xml:space="preserve">(e) The court shall enter written findings stating its reasons, including the facts and evidence considered, supporting any finding that sole decision making is in the best interest of the child.</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w:t>
      </w:r>
      <w:r>
        <w:rPr>
          <w:u w:val="single"/>
        </w:rPr>
        <w:t xml:space="preserve">The court shall not presume that a parent, solely because of his or her sex, is more qualified than the other parent to engage in parenting functions or be provided with more residential time with the child.</w:t>
      </w:r>
      <w:r>
        <w:rPr/>
        <w:t xml:space="preserve"> The child's residential schedule shall be consistent with RCW 26.09.191. Where the limitations of RCW 26.09.191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w:t>
      </w:r>
      <w:r>
        <w:rPr>
          <w:u w:val="single"/>
        </w:rPr>
        <w:t xml:space="preserve">The child's need for a frequent, continuing, and meaningful relationship with both parents and the ability and willingness of each parent to actively perform parenting functions for the needs of the child;</w:t>
      </w:r>
    </w:p>
    <w:p>
      <w:pPr>
        <w:spacing w:before="0" w:after="0" w:line="408" w:lineRule="exact"/>
        <w:ind w:left="0" w:right="0" w:firstLine="576"/>
        <w:jc w:val="left"/>
      </w:pPr>
      <w:r>
        <w:rPr>
          <w:u w:val="single"/>
        </w:rPr>
        <w:t xml:space="preserve">(vi)</w:t>
      </w:r>
      <w:r>
        <w:rPr/>
        <w:t xml:space="preserve">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Each parent's employment schedule, and shall make accommodations consistent with those schedules. </w:t>
      </w:r>
      <w:r>
        <w:rPr>
          <w:u w:val="single"/>
        </w:rPr>
        <w:t xml:space="preserve">A parent's employment schedule is not, by itself, a basis for limiting a parent's residential time with a child if the parent has other responsible persons approved by the court who can provide transportation or care for the child during schedule conflicts.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t>
      </w:r>
      <w:r>
        <w:t>((</w:t>
      </w:r>
      <w:r>
        <w:rPr>
          <w:strike/>
        </w:rPr>
        <w:t xml:space="preserve">Where the limitations of RCW 26.09.191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r>
        <w:t>))</w:t>
      </w:r>
      <w:r>
        <w:rPr/>
        <w:t xml:space="preserve"> </w:t>
      </w:r>
      <w:r>
        <w:rPr>
          <w:u w:val="single"/>
        </w:rPr>
        <w:t xml:space="preserve">(i) There is a presumption that it is in the best interest of the child to establish an equal residential schedule that provides each parent with equal time and contact with the child unless:</w:t>
      </w:r>
    </w:p>
    <w:p>
      <w:pPr>
        <w:spacing w:before="0" w:after="0" w:line="408" w:lineRule="exact"/>
        <w:ind w:left="0" w:right="0" w:firstLine="576"/>
        <w:jc w:val="left"/>
      </w:pPr>
      <w:r>
        <w:rPr>
          <w:u w:val="single"/>
        </w:rPr>
        <w:t xml:space="preserve">(A) Factors present under RCW 26.09.191 require restrictions on the child's residential schedule; or</w:t>
      </w:r>
    </w:p>
    <w:p>
      <w:pPr>
        <w:spacing w:before="0" w:after="0" w:line="408" w:lineRule="exact"/>
        <w:ind w:left="0" w:right="0" w:firstLine="576"/>
        <w:jc w:val="left"/>
      </w:pPr>
      <w:r>
        <w:rPr>
          <w:u w:val="single"/>
        </w:rPr>
        <w:t xml:space="preserve">(B) The parents have agreed on a parenting plan that allocates a greater share of residential time with one parent.</w:t>
      </w:r>
    </w:p>
    <w:p>
      <w:pPr>
        <w:spacing w:before="0" w:after="0" w:line="408" w:lineRule="exact"/>
        <w:ind w:left="0" w:right="0" w:firstLine="576"/>
        <w:jc w:val="left"/>
      </w:pPr>
      <w:r>
        <w:rPr>
          <w:u w:val="single"/>
        </w:rPr>
        <w:t xml:space="preserve">(ii) For parenting plans that involve a school-aged child, the court shall establish a residential schedule that provides consistency for the child through the school week.</w:t>
      </w:r>
    </w:p>
    <w:p>
      <w:pPr>
        <w:spacing w:before="0" w:after="0" w:line="408" w:lineRule="exact"/>
        <w:ind w:left="0" w:right="0" w:firstLine="576"/>
        <w:jc w:val="left"/>
      </w:pPr>
      <w:r>
        <w:rPr>
          <w:u w:val="single"/>
        </w:rPr>
        <w:t xml:space="preserve">(c) A parent alleging that an equal residential schedule that provides each parent with equal time and contact with the child would not be in the best interest of the child has the burden of establishing the allegation by clear and convincing evidence.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0" w:after="0" w:line="408" w:lineRule="exact"/>
        <w:ind w:left="0" w:right="0" w:firstLine="576"/>
        <w:jc w:val="left"/>
      </w:pPr>
      <w:r>
        <w:rPr>
          <w:u w:val="single"/>
        </w:rPr>
        <w:t xml:space="preserve">(e) If the court does not enter a parenting plan providing for an equal residential schedule that provides each parent with equal time and contact with the child, the court shall enter written findings stating its reason, including the facts and evidence considered that support the finding that an equal residential schedule is not in the best interest of the child. The court shall verify that any parenting plan that is knowingly and voluntarily agreed upon by both parties is made of their own volition.</w:t>
      </w:r>
    </w:p>
    <w:p>
      <w:pPr>
        <w:spacing w:before="0" w:after="0" w:line="408" w:lineRule="exact"/>
        <w:ind w:left="0" w:right="0" w:firstLine="576"/>
        <w:jc w:val="left"/>
      </w:pPr>
      <w:r>
        <w:rPr>
          <w:u w:val="single"/>
        </w:rPr>
        <w:t xml:space="preserve">(4) Any party who has knowingly provided false information in their declarations or testimony regarding issues under the parenting plan is subject to prosecution for false swearing or perjury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197</w:t>
      </w:r>
      <w:r>
        <w:rPr/>
        <w:t xml:space="preserve"> and 2007 c 496 s 604 are each amended to read as follows:</w:t>
      </w:r>
    </w:p>
    <w:p>
      <w:pPr>
        <w:spacing w:before="0" w:after="0" w:line="408" w:lineRule="exact"/>
        <w:ind w:left="0" w:right="0" w:firstLine="576"/>
        <w:jc w:val="left"/>
      </w:pPr>
      <w:r>
        <w:rPr/>
        <w:t xml:space="preserve">After considering the affidavit required by RCW 26.09.194(1) and other relevant evidence presented, the court shall make a temporary parenting plan that is in the best interest of the child. In making this determination, the court shall give particular consideration to:</w:t>
      </w:r>
    </w:p>
    <w:p>
      <w:pPr>
        <w:spacing w:before="0" w:after="0" w:line="408" w:lineRule="exact"/>
        <w:ind w:left="0" w:right="0" w:firstLine="576"/>
        <w:jc w:val="left"/>
      </w:pPr>
      <w:r>
        <w:rPr/>
        <w:t xml:space="preserve">(1) </w:t>
      </w:r>
      <w:r>
        <w:rPr>
          <w:u w:val="single"/>
        </w:rPr>
        <w:t xml:space="preserve">The presumption that it is in the best interest of the child to establish an equal residential schedule that provides each parent with equal time and contact with the child;</w:t>
      </w:r>
    </w:p>
    <w:p>
      <w:pPr>
        <w:spacing w:before="0" w:after="0" w:line="408" w:lineRule="exact"/>
        <w:ind w:left="0" w:right="0" w:firstLine="576"/>
        <w:jc w:val="left"/>
      </w:pPr>
      <w:r>
        <w:rPr>
          <w:u w:val="single"/>
        </w:rPr>
        <w:t xml:space="preserve">(2)</w:t>
      </w:r>
      <w:r>
        <w:rPr/>
        <w:t xml:space="preserve"> The relative strength, nature, and stability of the child's relationship with each parent;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Which parenting arrangements will cause the least disruption to the child's emotional stability while the action is pending.</w:t>
      </w:r>
    </w:p>
    <w:p>
      <w:pPr>
        <w:spacing w:before="0" w:after="0" w:line="408" w:lineRule="exact"/>
        <w:ind w:left="0" w:right="0" w:firstLine="576"/>
        <w:jc w:val="left"/>
      </w:pPr>
      <w:r>
        <w:rPr/>
        <w:t xml:space="preserve">The court shall also consider the factors used to determine residential provisions in the permanent parenting plan. </w:t>
      </w:r>
      <w:r>
        <w:rPr>
          <w:u w:val="single"/>
        </w:rPr>
        <w:t xml:space="preserve">The court shall enter written findings stating its reasons, including the facts and evidence considered supporting any finding that the temporary parenting plan is in the best interest of the child. The court shall verify that any temporary parenting plan that is knowingly and voluntarily agreed upon by both parties is made of their own volition.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w:t>
      </w:r>
      <w:r>
        <w:t>((</w:t>
      </w:r>
      <w:r>
        <w:rPr>
          <w:strike/>
        </w:rPr>
        <w:t xml:space="preserve">(8)</w:t>
      </w:r>
      <w:r>
        <w:t>))</w:t>
      </w:r>
      <w:r>
        <w:rPr/>
        <w:t xml:space="preserve"> </w:t>
      </w:r>
      <w:r>
        <w:rPr>
          <w:u w:val="single"/>
        </w:rPr>
        <w:t xml:space="preserve">(7), (9)</w:t>
      </w:r>
      <w:r>
        <w:rPr/>
        <w:t xml:space="preserve">, and </w:t>
      </w:r>
      <w:r>
        <w:t>((</w:t>
      </w:r>
      <w:r>
        <w:rPr>
          <w:strike/>
        </w:rPr>
        <w:t xml:space="preserve">(10)</w:t>
      </w:r>
      <w:r>
        <w:t>))</w:t>
      </w:r>
      <w:r>
        <w:rPr/>
        <w:t xml:space="preserve"> </w:t>
      </w:r>
      <w:r>
        <w:rPr>
          <w:u w:val="single"/>
        </w:rPr>
        <w:t xml:space="preserve">(11)</w:t>
      </w:r>
      <w:r>
        <w:rPr/>
        <w:t xml:space="preserve">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w:t>
      </w:r>
      <w:r>
        <w:t>((</w:t>
      </w:r>
      <w:r>
        <w:rPr>
          <w:strike/>
        </w:rPr>
        <w:t xml:space="preserve">or</w:t>
      </w:r>
      <w:r>
        <w:t>))</w:t>
      </w:r>
    </w:p>
    <w:p>
      <w:pPr>
        <w:spacing w:before="0" w:after="0" w:line="408" w:lineRule="exact"/>
        <w:ind w:left="0" w:right="0" w:firstLine="576"/>
        <w:jc w:val="left"/>
      </w:pPr>
      <w:r>
        <w:rPr/>
        <w:t xml:space="preserve">(d) </w:t>
      </w:r>
      <w:r>
        <w:rPr>
          <w:u w:val="single"/>
        </w:rPr>
        <w:t xml:space="preserve">The court finds that the nonmoving parent has demonstrated an inability or unwillingness to allow the child frequent and meaningful contact with the other parent based on the nonmoving parent's violation, without good cause, of a provision of the residential schedule of the parenting plan; or</w:t>
      </w:r>
    </w:p>
    <w:p>
      <w:pPr>
        <w:spacing w:before="0" w:after="0" w:line="408" w:lineRule="exact"/>
        <w:ind w:left="0" w:right="0" w:firstLine="576"/>
        <w:jc w:val="left"/>
      </w:pPr>
      <w:r>
        <w:rPr>
          <w:u w:val="single"/>
        </w:rPr>
        <w:t xml:space="preserve">(e)</w:t>
      </w:r>
      <w:r>
        <w:rPr/>
        <w:t xml:space="preserve">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w:t>
      </w:r>
      <w:r>
        <w:rPr>
          <w:u w:val="single"/>
        </w:rPr>
        <w:t xml:space="preserve">The court may order adjustments to the residential aspects of a parenting plan upon a showing of a substantial change in the employment schedule of either parent, and without consideration of the factors set forth in subsection (2) of this section, if the court finds that the adjustments are in the best interests of the child.</w:t>
      </w:r>
    </w:p>
    <w:p>
      <w:pPr>
        <w:spacing w:before="0" w:after="0" w:line="408" w:lineRule="exact"/>
        <w:ind w:left="0" w:right="0" w:firstLine="576"/>
        <w:jc w:val="left"/>
      </w:pPr>
      <w:r>
        <w:rPr>
          <w:u w:val="single"/>
        </w:rPr>
        <w:t xml:space="preserve">(8)</w:t>
      </w:r>
      <w:r>
        <w:rPr/>
        <w:t xml:space="preserve">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court finds that a motion to modify a prior decree or parenting plan has been brought in bad faith, the court shall assess the attorney's fees and court costs of the nonmoving parent against the moving party.</w:t>
      </w:r>
    </w:p>
    <w:p>
      <w:pPr>
        <w:spacing w:before="0" w:after="0" w:line="408" w:lineRule="exact"/>
        <w:ind w:left="0" w:right="0" w:firstLine="576"/>
        <w:jc w:val="left"/>
      </w:pPr>
      <w:r>
        <w:rPr>
          <w:u w:val="single"/>
        </w:rPr>
        <w:t xml:space="preserve">(15) A parent may petition for a review and modification of a parenting plan entered prior to the effective date of this section based on the revised standards governing the establishment of parenting plans provided under chapter . . ., Laws of 2019 (this act). A petition for rehearing and modification of a parenting plan under this section must be filed by July 31, 2020, and must set forth the specific provisions of chapter . . ., Laws of 2019 (this act) that warrant a review and modification of the parenting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180</w:t>
      </w:r>
      <w:r>
        <w:rPr/>
        <w:t xml:space="preserve"> and 2007 c 496 s 202 are each amended to read as follows:</w:t>
      </w:r>
    </w:p>
    <w:p>
      <w:pPr>
        <w:spacing w:before="0" w:after="0" w:line="408" w:lineRule="exact"/>
        <w:ind w:left="0" w:right="0" w:firstLine="576"/>
        <w:jc w:val="left"/>
      </w:pPr>
      <w:r>
        <w:rPr/>
        <w:t xml:space="preserve">(1) The administrative office of the courts shall create a handbook explaining the sections of Washington law pertaining to the rights and responsibilities of marital partners to each other and to any children during a marriage and a dissolution of marriage. The handbook may also be provided in videotape or other electronic form </w:t>
      </w:r>
      <w:r>
        <w:rPr>
          <w:u w:val="single"/>
        </w:rPr>
        <w:t xml:space="preserve">and must be made available and easily accessible on the administrative office of the courts' web site</w:t>
      </w:r>
      <w:r>
        <w:rPr/>
        <w:t xml:space="preserve">.</w:t>
      </w:r>
    </w:p>
    <w:p>
      <w:pPr>
        <w:spacing w:before="0" w:after="0" w:line="408" w:lineRule="exact"/>
        <w:ind w:left="0" w:right="0" w:firstLine="576"/>
        <w:jc w:val="left"/>
      </w:pPr>
      <w:r>
        <w:rPr/>
        <w:t xml:space="preserve">(2) The handbook created under subsection (1) of this section shall be provided by the county auditor when an individual applies for a marriage license under RCW 26.04.140.</w:t>
      </w:r>
    </w:p>
    <w:p>
      <w:pPr>
        <w:spacing w:before="0" w:after="0" w:line="408" w:lineRule="exact"/>
        <w:ind w:left="0" w:right="0" w:firstLine="576"/>
        <w:jc w:val="left"/>
      </w:pPr>
      <w:r>
        <w:rPr/>
        <w:t xml:space="preserve">(3) </w:t>
      </w:r>
      <w:r>
        <w:rPr>
          <w:u w:val="single"/>
        </w:rPr>
        <w:t xml:space="preserve">In a dissolution or legal separation action filed under this chapter, the petitioner's counsel shall provide to the petitioner a copy of t</w:t>
      </w:r>
      <w:r>
        <w:rPr/>
        <w:t xml:space="preserve">he handbook created under subsection (1) of this section </w:t>
      </w:r>
      <w:r>
        <w:t>((</w:t>
      </w:r>
      <w:r>
        <w:rPr>
          <w:strike/>
        </w:rPr>
        <w:t xml:space="preserve">shall also be provided to the petitioner when</w:t>
      </w:r>
      <w:r>
        <w:t>))</w:t>
      </w:r>
      <w:r>
        <w:rPr/>
        <w:t xml:space="preserve"> </w:t>
      </w:r>
      <w:r>
        <w:rPr>
          <w:u w:val="single"/>
        </w:rPr>
        <w:t xml:space="preserve">at the time</w:t>
      </w:r>
      <w:r>
        <w:rPr/>
        <w:t xml:space="preserve"> he or she files </w:t>
      </w:r>
      <w:r>
        <w:t>((</w:t>
      </w:r>
      <w:r>
        <w:rPr>
          <w:strike/>
        </w:rPr>
        <w:t xml:space="preserve">a</w:t>
      </w:r>
      <w:r>
        <w:t>))</w:t>
      </w:r>
      <w:r>
        <w:rPr/>
        <w:t xml:space="preserve"> </w:t>
      </w:r>
      <w:r>
        <w:rPr>
          <w:u w:val="single"/>
        </w:rPr>
        <w:t xml:space="preserve">the</w:t>
      </w:r>
      <w:r>
        <w:rPr/>
        <w:t xml:space="preserve"> petition </w:t>
      </w:r>
      <w:r>
        <w:t>((</w:t>
      </w:r>
      <w:r>
        <w:rPr>
          <w:strike/>
        </w:rPr>
        <w:t xml:space="preserve">for dissolution, and to the respondent, unless the respondent did not file a response, notice of appearance, or any other paper in the case or did not appear in court</w:t>
      </w:r>
      <w:r>
        <w:t>))</w:t>
      </w:r>
      <w:r>
        <w:rPr/>
        <w:t xml:space="preserve"> </w:t>
      </w:r>
      <w:r>
        <w:rPr>
          <w:u w:val="single"/>
        </w:rPr>
        <w:t xml:space="preserve">and provide a copy of the handbook to be served along with the petition and summons upon the respondent. If the petitioner is unrepresented by counsel at the time the petition is filed, the court shall provide the petitioner with a copy of the handbook and direct that a copy of the handbook be served along with the petition and summons upon the respondent</w:t>
      </w:r>
      <w:r>
        <w:rPr/>
        <w:t xml:space="preserve">. The administrative office of the courts shall on an annual basis reimburse the counties for each copy of the handbook that is distributed </w:t>
      </w:r>
      <w:r>
        <w:rPr>
          <w:u w:val="single"/>
        </w:rPr>
        <w:t xml:space="preserve">by the court</w:t>
      </w:r>
      <w:r>
        <w:rPr/>
        <w:t xml:space="preserve"> directly to family law parties under this section, provided that the county submits documentation of the number of handbooks distributed on an annual basis.</w:t>
      </w:r>
    </w:p>
    <w:p>
      <w:pPr>
        <w:spacing w:before="0" w:after="0" w:line="408" w:lineRule="exact"/>
        <w:ind w:left="0" w:right="0" w:firstLine="576"/>
        <w:jc w:val="left"/>
      </w:pPr>
      <w:r>
        <w:rPr/>
        <w:t xml:space="preserve">(4) The information contained in the handbook created under subsection (1) of this section shall be reviewed and updated annually. The handbook must contain the following information:</w:t>
      </w:r>
    </w:p>
    <w:p>
      <w:pPr>
        <w:spacing w:before="0" w:after="0" w:line="408" w:lineRule="exact"/>
        <w:ind w:left="0" w:right="0" w:firstLine="576"/>
        <w:jc w:val="left"/>
      </w:pPr>
      <w:r>
        <w:rPr/>
        <w:t xml:space="preserve">(a) Information on prenuptial agreements as contracts and as a means of structuring financial arrangements and other aspects of the marital relationship;</w:t>
      </w:r>
    </w:p>
    <w:p>
      <w:pPr>
        <w:spacing w:before="0" w:after="0" w:line="408" w:lineRule="exact"/>
        <w:ind w:left="0" w:right="0" w:firstLine="576"/>
        <w:jc w:val="left"/>
      </w:pPr>
      <w:r>
        <w:rPr/>
        <w:t xml:space="preserve">(b) Information on shared parental responsibility for children, including establishing a residential schedule for the child in the event of the dissolution of the marriage</w:t>
      </w:r>
      <w:r>
        <w:rPr>
          <w:u w:val="single"/>
        </w:rPr>
        <w:t xml:space="preserve">, and guidelines on what is included in the parenting plan in order to maximize to the highest degree the amount of time the child may spend with each parent</w:t>
      </w:r>
      <w:r>
        <w:rPr/>
        <w:t xml:space="preserve">;</w:t>
      </w:r>
    </w:p>
    <w:p>
      <w:pPr>
        <w:spacing w:before="0" w:after="0" w:line="408" w:lineRule="exact"/>
        <w:ind w:left="0" w:right="0" w:firstLine="576"/>
        <w:jc w:val="left"/>
      </w:pPr>
      <w:r>
        <w:rPr/>
        <w:t xml:space="preserve">(c) Information on notice requirements and standards for parental relocation;</w:t>
      </w:r>
    </w:p>
    <w:p>
      <w:pPr>
        <w:spacing w:before="0" w:after="0" w:line="408" w:lineRule="exact"/>
        <w:ind w:left="0" w:right="0" w:firstLine="576"/>
        <w:jc w:val="left"/>
      </w:pPr>
      <w:r>
        <w:rPr/>
        <w:t xml:space="preserve">(d) Information on child support for minor children;</w:t>
      </w:r>
    </w:p>
    <w:p>
      <w:pPr>
        <w:spacing w:before="0" w:after="0" w:line="408" w:lineRule="exact"/>
        <w:ind w:left="0" w:right="0" w:firstLine="576"/>
        <w:jc w:val="left"/>
      </w:pPr>
      <w:r>
        <w:rPr/>
        <w:t xml:space="preserve">(e) Information on property rights, including equitable distribution of assets and premarital and postmarital property rights;</w:t>
      </w:r>
    </w:p>
    <w:p>
      <w:pPr>
        <w:spacing w:before="0" w:after="0" w:line="408" w:lineRule="exact"/>
        <w:ind w:left="0" w:right="0" w:firstLine="576"/>
        <w:jc w:val="left"/>
      </w:pPr>
      <w:r>
        <w:rPr/>
        <w:t xml:space="preserve">(f) Information on spousal maintenance;</w:t>
      </w:r>
    </w:p>
    <w:p>
      <w:pPr>
        <w:spacing w:before="0" w:after="0" w:line="408" w:lineRule="exact"/>
        <w:ind w:left="0" w:right="0" w:firstLine="576"/>
        <w:jc w:val="left"/>
      </w:pPr>
      <w:r>
        <w:rPr/>
        <w:t xml:space="preserve">(g) Information on domestic violence, child abuse, and neglect, including penalties;</w:t>
      </w:r>
    </w:p>
    <w:p>
      <w:pPr>
        <w:spacing w:before="0" w:after="0" w:line="408" w:lineRule="exact"/>
        <w:ind w:left="0" w:right="0" w:firstLine="576"/>
        <w:jc w:val="left"/>
      </w:pPr>
      <w:r>
        <w:rPr/>
        <w:t xml:space="preserve">(h) Information on the court process for dissolution;</w:t>
      </w:r>
    </w:p>
    <w:p>
      <w:pPr>
        <w:spacing w:before="0" w:after="0" w:line="408" w:lineRule="exact"/>
        <w:ind w:left="0" w:right="0" w:firstLine="576"/>
        <w:jc w:val="left"/>
      </w:pPr>
      <w:r>
        <w:rPr/>
        <w:t xml:space="preserve">(i) Information on the effects of dissolution on children;</w:t>
      </w:r>
    </w:p>
    <w:p>
      <w:pPr>
        <w:spacing w:before="0" w:after="0" w:line="408" w:lineRule="exact"/>
        <w:ind w:left="0" w:right="0" w:firstLine="576"/>
        <w:jc w:val="left"/>
      </w:pPr>
      <w:r>
        <w:rPr/>
        <w:t xml:space="preserve">(j) Information on community resources that are available to separating or divorcing persons and their children.</w:t>
      </w:r>
    </w:p>
    <w:p/>
    <w:p>
      <w:pPr>
        <w:jc w:val="center"/>
      </w:pPr>
      <w:r>
        <w:rPr>
          <w:b/>
        </w:rPr>
        <w:t>--- END ---</w:t>
      </w:r>
    </w:p>
    <w:sectPr>
      <w:pgNumType w:start="1"/>
      <w:footerReference xmlns:r="http://schemas.openxmlformats.org/officeDocument/2006/relationships" r:id="R5e0291dad1a34d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aabeda54b4978" /><Relationship Type="http://schemas.openxmlformats.org/officeDocument/2006/relationships/footer" Target="/word/footer1.xml" Id="R5e0291dad1a34d84" /></Relationships>
</file>