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f7f14fb744a4b" /></Relationships>
</file>

<file path=word/document.xml><?xml version="1.0" encoding="utf-8"?>
<w:document xmlns:w="http://schemas.openxmlformats.org/wordprocessingml/2006/main">
  <w:body>
    <w:p>
      <w:r>
        <w:t>H-0266.1</w:t>
      </w:r>
    </w:p>
    <w:p>
      <w:pPr>
        <w:jc w:val="center"/>
      </w:pPr>
      <w:r>
        <w:t>_______________________________________________</w:t>
      </w:r>
    </w:p>
    <w:p/>
    <w:p>
      <w:pPr>
        <w:jc w:val="center"/>
      </w:pPr>
      <w:r>
        <w:rPr>
          <w:b/>
        </w:rPr>
        <w:t>HOUSE BILL 1280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and Appleton</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safer communities in Washington by modifying sentencing laws related to property crimes and other crimes and implementing recommendations of the Washington state justice reinvestment task force; amending RCW 9.94A.030, 9.94A.501, 9.94A.506, 9.94A.585, 9.94A.702, 9.94A.171, and 9.94A.860; reenacting and amending RCW 9.94A.505, 9.94A.515, and 9.94A.701; adding new sections to chapter 9.94A RCW;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 is the only state in the country that does not make supervision available to property offenders.</w:t>
      </w:r>
    </w:p>
    <w:p>
      <w:pPr>
        <w:spacing w:before="0" w:after="0" w:line="408" w:lineRule="exact"/>
        <w:ind w:left="0" w:right="0" w:firstLine="576"/>
        <w:jc w:val="left"/>
      </w:pPr>
      <w:r>
        <w:rPr/>
        <w:t xml:space="preserve">(c) In recent years, an increasing number of individuals convicted of property crimes have been sentenced to prison. Evidence-based data tells us that supervision paired with treatment, including, but not limited to, chemical dependency services and mental health and cognitive behavioral treatment and services, can have a significant impact on reducing the likelihood of reoffending for most people convicted of a crime, including people convicted of property offenses.</w:t>
      </w:r>
    </w:p>
    <w:p>
      <w:pPr>
        <w:spacing w:before="0" w:after="0" w:line="408" w:lineRule="exact"/>
        <w:ind w:left="0" w:right="0" w:firstLine="576"/>
        <w:jc w:val="left"/>
      </w:pPr>
      <w:r>
        <w:rPr/>
        <w:t xml:space="preserve">(d) Supervision practices in Washington are promising and the department of corrections continues to refine its approach to community supervision, but there is an opportunity to further strengthen the quality of supervision as it relates to other offenders and also extend it to property crime offenders.</w:t>
      </w:r>
    </w:p>
    <w:p>
      <w:pPr>
        <w:spacing w:before="0" w:after="0" w:line="408" w:lineRule="exact"/>
        <w:ind w:left="0" w:right="0" w:firstLine="576"/>
        <w:jc w:val="left"/>
      </w:pPr>
      <w:r>
        <w:rPr/>
        <w:t xml:space="preserve">(e) Effective policy development in criminal justice can be tracked, measured, and assessed to ensure that the intent and goals of the legislature are realized.</w:t>
      </w:r>
    </w:p>
    <w:p>
      <w:pPr>
        <w:spacing w:before="0" w:after="0" w:line="408" w:lineRule="exact"/>
        <w:ind w:left="0" w:right="0" w:firstLine="576"/>
        <w:jc w:val="left"/>
      </w:pPr>
      <w:r>
        <w:rPr/>
        <w:t xml:space="preserve">(2) It is the intent of the legislature to continue building safer communities by further strengthening the quality of existing supervision practices, enabling targeted efforts at deterrence, and implementing recommendations of the Washington state justice reinvestment task force by changing sentencing policy to require supervision of certain people convicted of property offenses; by providing treatment, if needed, and programs to reduce recidivism; and by providing additional support to local governments. The legislature adopts this act with the goal of improving supervision policies and reducing property crime by at least fifteen percent by fiscal year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(xlvi) Taking Motor Vehicle Without Permission 1 (RCW 9A.56.070);</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w:t>
      </w:r>
      <w:r>
        <w:rPr>
          <w:u w:val="single"/>
        </w:rPr>
        <w:t xml:space="preserve">and that was committed on or after the effective date of this section</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 </w:t>
      </w:r>
      <w:r>
        <w:rPr>
          <w:u w:val="single"/>
        </w:rPr>
        <w:t xml:space="preserve">The period of time the department is authorized to supervise an offender under this section may be reduced by the earned award of positive achievement time pursuant to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Taking Motor Vehicle Without Permission 1 (RCW 9A.56.070)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Counterfeiting (RCW 9.16.035(4))</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Identity Theft 1 (RCW 9.35.020(2))</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Theft of Livestock 1 (RCW 9A.56.080)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factoring of a credit card or payment card transaction (RCW 9A.56.290(4)(b))</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Burglary 2 (RCW 9A.52.030)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Organized Retail Theft 1 (RCW 9A.56.350(2))</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Retail Theft with Special Circumstances 1 (RCW 9A.56.360(2))</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Hunting of Big Game 1 (RCW 77.15.410(3)(b))</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Commercial Fishing Without a License 1 (RCW 77.15.500(3)(b))</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Counterfeiting (RCW 9.16.035(3))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Engaging in Fish Dealing Activity Unlicensed 1 (RCW 77.15.620(3))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Identity Theft 2 (RCW 9.35.020(3))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factoring of a credit card or payment card transaction (RCW 9A.56.290(4)(a))</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Forgery (RCW 9A.60.020)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Mischief 2 (RCW 9A.48.080)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Reckless Burning 1 (RCW 9A.48.040)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Theft 2 (RCW 9A.56.040)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Theft of Rental, Leased, Lease-purchased, or Loaned Property (valued at seven hundred fifty dollars or more but less than five thousand dollars) (RCW 9A.56.096(5)(b))</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Unlawful Use of Food Stamps (RCW 9.91.144)</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0"/>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p>
        </w:tc>
        <w:tc>
          <w:tcPr>
            <w:tcW w:w="901.6"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p>
        </w:tc>
        <w:tc>
          <w:tcPr>
            <w:tcW w:w="901.6"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p>
        </w:tc>
        <w:tc>
          <w:tcPr>
            <w:gridSpan w:val="4"/>
            <w:tcW w:w="3606.4" w:type="dxa"/>
            <w:vAlign w:val="top"/>
            <w:vMerge w:val="restart"/>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p>
        </w:tc>
        <w:tc>
          <w:tcPr>
            <w:tcW w:w="901.6"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901.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days and months represent the standard sentence range.</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chapter 2.30 RCW.</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0"/>
        <w:jc w:val="center"/>
      </w:pPr>
      <w:r>
        <w:rPr/>
        <w:t xml:space="preserve">TABLE 6 - PROPERTY OFFENSES</w:t>
      </w:r>
    </w:p>
    <w:p>
      <w:pPr>
        <w:spacing w:before="0" w:after="0" w:line="408" w:lineRule="exact"/>
        <w:ind w:left="0" w:right="0" w:firstLine="0"/>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IV</w:t>
            </w: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III</w:t>
            </w:r>
          </w:p>
        </w:tc>
        <w:tc>
          <w:tcPr>
            <w:tcW w:w="37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 </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II</w:t>
            </w: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77.15.620(3)(b))</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w:t>
            </w: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9A.56.320(4))</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9A.56.320(5))</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9A.56.320(2))</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9A.56.320(3))</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9A.56.320(1))</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r>
      <w:tr>
        <w:tc>
          <w:tcPr>
            <w:tcW w:w="1065" w:type="dxa"/>
            <w:vAlign w:val="top"/>
            <w:tcMar>
              <w:left w:w="120"/>
            </w:tcMar>
            <w:tcMar>
              <w:right w:w="120"/>
            </w:tcMar>
            <w:tcMar>
              <w:top w:w="40"/>
            </w:tcMar>
            <w:tcMar>
              <w:bottom w:w="40"/>
            </w:tcMar>
          </w:tcPr>
          <w:p>
            <w:pPr>
              <w:spacing w:before="0" w:after="0" w:line="408" w:lineRule="exact"/>
              <w:ind w:left="0" w:right="0" w:firstLine="0"/>
              <w:jc w:val="left"/>
            </w:pPr>
          </w:p>
        </w:tc>
        <w:tc>
          <w:tcPr>
            <w:tcW w:w="37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2016 c 179 s 3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w:t>
      </w:r>
      <w:r>
        <w:t>((</w:t>
      </w:r>
      <w:r>
        <w:rPr>
          <w:strike/>
        </w:rPr>
        <w:t xml:space="preserve">sentencing</w:t>
      </w:r>
      <w:r>
        <w:t>))</w:t>
      </w:r>
      <w:r>
        <w:rPr/>
        <w:t xml:space="preserve"> </w:t>
      </w:r>
      <w:r>
        <w:rPr>
          <w:u w:val="single"/>
        </w:rPr>
        <w:t xml:space="preserve">justice</w:t>
      </w:r>
      <w:r>
        <w:rPr/>
        <w:t xml:space="preserve">.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 having general responsibility for adult corrections programs</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w:t>
      </w:r>
      <w:r>
        <w:t>((</w:t>
      </w:r>
      <w:r>
        <w:rPr>
          <w:strike/>
        </w:rPr>
        <w:t xml:space="preserve">Four</w:t>
      </w:r>
      <w:r>
        <w:t>))</w:t>
      </w:r>
      <w:r>
        <w:rPr/>
        <w:t xml:space="preserve"> </w:t>
      </w:r>
      <w:r>
        <w:rPr>
          <w:u w:val="single"/>
        </w:rPr>
        <w:t xml:space="preserve">Two</w:t>
      </w:r>
      <w:r>
        <w:rPr/>
        <w:t xml:space="preserve"> persons who are superior court judges;</w:t>
      </w:r>
    </w:p>
    <w:p>
      <w:pPr>
        <w:spacing w:before="0" w:after="0" w:line="408" w:lineRule="exact"/>
        <w:ind w:left="0" w:right="0" w:firstLine="576"/>
        <w:jc w:val="left"/>
      </w:pPr>
      <w:r>
        <w:rPr/>
        <w:t xml:space="preserve">(h)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 and</w:t>
      </w:r>
    </w:p>
    <w:p>
      <w:pPr>
        <w:spacing w:before="0" w:after="0" w:line="408" w:lineRule="exact"/>
        <w:ind w:left="0" w:right="0" w:firstLine="576"/>
        <w:jc w:val="left"/>
      </w:pPr>
      <w:r>
        <w:rPr>
          <w:u w:val="single"/>
        </w:rPr>
        <w:t xml:space="preserve">(m) The chief justice of the supreme court or the chief justice's designee, as an ex officio member</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superior court judges' association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 less than once per biennium, the commission working in conjunction with the caseload forecast council and other entities, as needed, shall review:</w:t>
      </w:r>
    </w:p>
    <w:p>
      <w:pPr>
        <w:spacing w:before="0" w:after="0" w:line="408" w:lineRule="exact"/>
        <w:ind w:left="0" w:right="0" w:firstLine="576"/>
        <w:jc w:val="left"/>
      </w:pPr>
      <w:r>
        <w:rPr/>
        <w:t xml:space="preserve">(a) Property crime rates;</w:t>
      </w:r>
    </w:p>
    <w:p>
      <w:pPr>
        <w:spacing w:before="0" w:after="0" w:line="408" w:lineRule="exact"/>
        <w:ind w:left="0" w:right="0" w:firstLine="576"/>
        <w:jc w:val="left"/>
      </w:pPr>
      <w:r>
        <w:rPr/>
        <w:t xml:space="preserve">(b) The impact on supervision, jail, and prison populations of sentencing under the property crime grid in this chapter;</w:t>
      </w:r>
    </w:p>
    <w:p>
      <w:pPr>
        <w:spacing w:before="0" w:after="0" w:line="408" w:lineRule="exact"/>
        <w:ind w:left="0" w:right="0" w:firstLine="576"/>
        <w:jc w:val="left"/>
      </w:pPr>
      <w:r>
        <w:rPr/>
        <w:t xml:space="preserve">(c) Recidivism rates, as measured by rearrest among other outcomes, of supervision, jail, and prison populations;</w:t>
      </w:r>
    </w:p>
    <w:p>
      <w:pPr>
        <w:spacing w:before="0" w:after="0" w:line="408" w:lineRule="exact"/>
        <w:ind w:left="0" w:right="0" w:firstLine="576"/>
        <w:jc w:val="left"/>
      </w:pPr>
      <w:r>
        <w:rPr/>
        <w:t xml:space="preserve">(d) Racial disproportionality impacts;</w:t>
      </w:r>
    </w:p>
    <w:p>
      <w:pPr>
        <w:spacing w:before="0" w:after="0" w:line="408" w:lineRule="exact"/>
        <w:ind w:left="0" w:right="0" w:firstLine="576"/>
        <w:jc w:val="left"/>
      </w:pPr>
      <w:r>
        <w:rPr/>
        <w:t xml:space="preserve">(e) The effectiveness of the minimum three day sentencing ranges under the property offense sentencing grid in section 7 of this act and whether such minimum ranges should be amended;</w:t>
      </w:r>
    </w:p>
    <w:p>
      <w:pPr>
        <w:spacing w:before="0" w:after="0" w:line="408" w:lineRule="exact"/>
        <w:ind w:left="0" w:right="0" w:firstLine="576"/>
        <w:jc w:val="left"/>
      </w:pPr>
      <w:r>
        <w:rPr/>
        <w:t xml:space="preserve">(f) How risk assessments are used to make informed decisions regarding pretrial detainees and whether localities would benefit from increased pretrial opportunities; and</w:t>
      </w:r>
    </w:p>
    <w:p>
      <w:pPr>
        <w:spacing w:before="0" w:after="0" w:line="408" w:lineRule="exact"/>
        <w:ind w:left="0" w:right="0" w:firstLine="576"/>
        <w:jc w:val="left"/>
      </w:pPr>
      <w:r>
        <w:rPr/>
        <w:t xml:space="preserve">(g) New programs implemented through grant funding established pursuant to sections 15 and 16 of this act.</w:t>
      </w:r>
    </w:p>
    <w:p>
      <w:pPr>
        <w:spacing w:before="0" w:after="0" w:line="408" w:lineRule="exact"/>
        <w:ind w:left="0" w:right="0" w:firstLine="576"/>
        <w:jc w:val="left"/>
      </w:pPr>
      <w:r>
        <w:rPr/>
        <w:t xml:space="preserve">(2) Until January 31, 2023, no later than January 1st of each odd-numbered year, the commission shall submit a report to the appropriate committees of the legislature that includes:</w:t>
      </w:r>
    </w:p>
    <w:p>
      <w:pPr>
        <w:spacing w:before="0" w:after="0" w:line="408" w:lineRule="exact"/>
        <w:ind w:left="0" w:right="0" w:firstLine="576"/>
        <w:jc w:val="left"/>
      </w:pPr>
      <w:r>
        <w:rPr/>
        <w:t xml:space="preserve">(a) The determinations described in subsection (1) of this section and descriptions of the methodology employed by the commission in reaching those determinations; and</w:t>
      </w:r>
    </w:p>
    <w:p>
      <w:pPr>
        <w:spacing w:before="0" w:after="0" w:line="408" w:lineRule="exact"/>
        <w:ind w:left="0" w:right="0" w:firstLine="576"/>
        <w:jc w:val="left"/>
      </w:pPr>
      <w:r>
        <w:rPr/>
        <w:t xml:space="preserve">(b) An overview and the effectiveness of the law enforcement grant program under section 15 of this act.</w:t>
      </w:r>
    </w:p>
    <w:p>
      <w:pPr>
        <w:spacing w:before="0" w:after="0" w:line="408" w:lineRule="exact"/>
        <w:ind w:left="0" w:right="0" w:firstLine="576"/>
        <w:jc w:val="left"/>
      </w:pPr>
      <w:r>
        <w:rPr/>
        <w:t xml:space="preserve">(3) The commission may request assistance from other state agencies including, but not limited to, the caseload forecast council, the department of corrections, the department of social and health services,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clearly outline a comprehensive plan for municipalities to work with law enforcement, community-based organizations, and government agencies to address property crime and can either: (a) Demonstrate a commitment to regional, multijurisdictional strategies or (b) document that its affected communities experience high rates of property crime.</w:t>
      </w:r>
    </w:p>
    <w:p>
      <w:pPr>
        <w:spacing w:before="0" w:after="0" w:line="408" w:lineRule="exact"/>
        <w:ind w:left="0" w:right="0" w:firstLine="576"/>
        <w:jc w:val="left"/>
      </w:pPr>
      <w:r>
        <w:rPr/>
        <w:t xml:space="preserve">(3) The department of commerce shall attempt to utilize national resources and expertise on policing.</w:t>
      </w:r>
    </w:p>
    <w:p>
      <w:pPr>
        <w:spacing w:before="0" w:after="0" w:line="408" w:lineRule="exact"/>
        <w:ind w:left="0" w:right="0" w:firstLine="576"/>
        <w:jc w:val="left"/>
      </w:pPr>
      <w:r>
        <w:rPr/>
        <w:t xml:space="preserve">(4) The department of commerce shall utilize the sentencing guidelines commission to evaluate grant applications and monitor the effectiveness of grant projects in terms of property crime reduction.</w:t>
      </w:r>
    </w:p>
    <w:p>
      <w:pPr>
        <w:spacing w:before="0" w:after="0" w:line="408" w:lineRule="exact"/>
        <w:ind w:left="0" w:right="0" w:firstLine="576"/>
        <w:jc w:val="left"/>
      </w:pPr>
      <w:r>
        <w:rPr/>
        <w:t xml:space="preserve">(5) The department of commerce, in collaboration with the sentencing guidelines commission, shall provide an annual report to the appropriate committees of the legislature that provides an overview of the grants distributed and the effectiveness of the grant projects in terms of property crime reduction, pursuant to section 14(2)(b)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 15 of this act shall be considered one-time grants and may be renewed for effective programs as determined by the department of commerce. The department of commerce shall consult with counties and local law enforcement agencies when determining grant eligibility requirements and criteria. The department of commerce shall publish guidelines and an application for the competitive portion of the grant programs no later than January 1, 2020.</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 15 of this act.</w:t>
      </w:r>
    </w:p>
    <w:p>
      <w:pPr>
        <w:spacing w:before="0" w:after="0" w:line="408" w:lineRule="exact"/>
        <w:ind w:left="0" w:right="0" w:firstLine="576"/>
        <w:jc w:val="left"/>
      </w:pPr>
      <w:r>
        <w:rPr/>
        <w:t xml:space="preserve">(4) A grantee may not supplant current local funds for law enforcement with funds provided by the department of commerce under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14, and 15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fifteen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(d) The department may develop rules to allow for the partial revocation of previously accrued positive achievement time as an alternative to confinement for certain low-level violations as specified by the department.</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 18 of this act over a period of time not to exceed twelve months. For any offender under active supervision by the department as of the effective date of this section, he or she is not eligible to earn positive achievement time pursuant to section 18 of this act until he or she has received an orientation by the department regarding positive achievement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department of corrections must hire an independent consultant to perform a comprehensive workload study of the department's community correction division. This study must include a review of the case management model, policies and procedures, record management, and workflow.</w:t>
      </w:r>
    </w:p>
    <w:p>
      <w:pPr>
        <w:spacing w:before="0" w:after="0" w:line="408" w:lineRule="exact"/>
        <w:ind w:left="0" w:right="0" w:firstLine="576"/>
        <w:jc w:val="left"/>
      </w:pPr>
      <w:r>
        <w:rPr/>
        <w:t xml:space="preserve">(2) An initial report identifying the findings with recommendations must be submitted to the appropriate fiscal committees of the legislature and the department by June 30, 2021. The initial report recommendations must include benchmark timelines as they pertain to the implementation of the recommendations. The report must include measureable performance metrics and implementation benchmarks.</w:t>
      </w:r>
    </w:p>
    <w:p>
      <w:pPr>
        <w:spacing w:before="0" w:after="0" w:line="408" w:lineRule="exact"/>
        <w:ind w:left="0" w:right="0" w:firstLine="576"/>
        <w:jc w:val="left"/>
      </w:pPr>
      <w:r>
        <w:rPr/>
        <w:t xml:space="preserve">(3) The department must provide a status update on the department's implementation of those recommendations to the appropriate fiscal committees of the legislature no later than six months and one year after the initial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18, and 19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9a092a0640b4d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d1cb12c2a94a9c" /><Relationship Type="http://schemas.openxmlformats.org/officeDocument/2006/relationships/footer" Target="/word/footer1.xml" Id="R29a092a0640b4dc8" /></Relationships>
</file>