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c53efa2f74a13" /></Relationships>
</file>

<file path=word/document.xml><?xml version="1.0" encoding="utf-8"?>
<w:document xmlns:w="http://schemas.openxmlformats.org/wordprocessingml/2006/main">
  <w:body>
    <w:p>
      <w:r>
        <w:t>H-0683.1</w:t>
      </w:r>
    </w:p>
    <w:p>
      <w:pPr>
        <w:jc w:val="center"/>
      </w:pPr>
      <w:r>
        <w:t>_______________________________________________</w:t>
      </w:r>
    </w:p>
    <w:p/>
    <w:p>
      <w:pPr>
        <w:jc w:val="center"/>
      </w:pPr>
      <w:r>
        <w:rPr>
          <w:b/>
        </w:rPr>
        <w:t>HOUSE BILL 1335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Schmick, Kloba, and Springer</w:t>
      </w:r>
    </w:p>
    <w:p/>
    <w:p>
      <w:r>
        <w:rPr>
          <w:t xml:space="preserve">Read first time 01/18/19.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and repealing RCW 43.350.005, 43.350.010, 43.350.020, 43.350.030, 43.350.060, 43.350.901, and 43.350.903.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a statewide nonprofit organization to either provide services or make grants, or both, to entities pursuant to a contract to foster growth of the state's life science sector and to improve the health and economic well-being of its residents. The statewide nonprofit organization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may also contract with the organization selected under subsection (1) of this section to monitor and collect life science discovery fund grant payback funds.</w:t>
      </w:r>
    </w:p>
    <w:p>
      <w:pPr>
        <w:spacing w:before="0" w:after="0" w:line="408" w:lineRule="exact"/>
        <w:ind w:left="0" w:right="0" w:firstLine="576"/>
        <w:jc w:val="left"/>
      </w:pPr>
      <w:r>
        <w:rPr/>
        <w:t xml:space="preserve">(3) Grant agreements made pursuant to subsection (1) of this section must specify deliverables to be provided by the recipient under the grant. The nonprofit organization selected pursuant to subsection (1) of this section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nonprofit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 </w:t>
      </w:r>
      <w:r>
        <w:rPr>
          <w:u w:val="single"/>
        </w:rPr>
        <w:t xml:space="preserve">for the implementation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2018 c 299 s 924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 </w:t>
      </w:r>
      <w:r>
        <w:t>((</w:t>
      </w:r>
      <w:r>
        <w:rPr>
          <w:strike/>
        </w:rPr>
        <w:t xml:space="preserve">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During the 2017-2019 fiscal biennium, the legislature may make appropriations from the fund to the department of commerce for providing life sciences research grants.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
      <w:pPr>
        <w:jc w:val="center"/>
      </w:pPr>
      <w:r>
        <w:rPr>
          <w:b/>
        </w:rPr>
        <w:t>--- END ---</w:t>
      </w:r>
    </w:p>
    <w:sectPr>
      <w:pgNumType w:start="1"/>
      <w:footerReference xmlns:r="http://schemas.openxmlformats.org/officeDocument/2006/relationships" r:id="Ra213b4c8c5f043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e1e51fddb4511" /><Relationship Type="http://schemas.openxmlformats.org/officeDocument/2006/relationships/footer" Target="/word/footer1.xml" Id="Ra213b4c8c5f04369" /></Relationships>
</file>