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247a9db9f49d9" /></Relationships>
</file>

<file path=word/document.xml><?xml version="1.0" encoding="utf-8"?>
<w:document xmlns:w="http://schemas.openxmlformats.org/wordprocessingml/2006/main">
  <w:body>
    <w:p>
      <w:r>
        <w:t>H-1554.1</w:t>
      </w:r>
    </w:p>
    <w:p>
      <w:pPr>
        <w:jc w:val="center"/>
      </w:pPr>
      <w:r>
        <w:t>_______________________________________________</w:t>
      </w:r>
    </w:p>
    <w:p/>
    <w:p>
      <w:pPr>
        <w:jc w:val="center"/>
      </w:pPr>
      <w:r>
        <w:rPr>
          <w:b/>
        </w:rPr>
        <w:t>SUBSTITUTE HOUSE BILL 1344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Reeves, Ryu, Sells, Valdez, Goodman, Robinson, Shewmake, Stonier, Macri, Kilduff, Leavitt, and Pollet)</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amending 2018 c 91 s 1 (uncodified); adding new sections to chapter 43.330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ensuring that the market of child care providers is prepared to meet existing and expanded demand. The legislature finds that the market of child care providers is shrinking, that child care deserts are expanding, and that fewer providers are offering services to working connections child care subsidy recipients, as the costs associated with ensuring safe, healthy environments where children are loved and learning are unaffordable to families and underfunded by subsidy rates. The legislature additionally finds that child care providers are unable to recruit and retain a qualified workforce because there are not sufficient resources to competitively compensate qualified caregivers; that wages in the industry remain among the lowest of all professions, at or near minimum wage, even as the relationship between a child and a qualified caregiver is of paramount importance to parents; and, according to a rapidly accumulating body of brain science, it is foundational to supporting healthy development.</w:t>
      </w:r>
    </w:p>
    <w:p>
      <w:pPr>
        <w:spacing w:before="0" w:after="0" w:line="408" w:lineRule="exact"/>
        <w:ind w:left="0" w:right="0" w:firstLine="576"/>
        <w:jc w:val="left"/>
      </w:pPr>
      <w:r>
        <w:rPr/>
        <w:t xml:space="preserve">(4) Therefore, the legislature intends to promote high quality child care from diverse providers that is accessible and affordable to all families of Washington's children ages birth to five by:</w:t>
      </w:r>
    </w:p>
    <w:p>
      <w:pPr>
        <w:spacing w:before="0" w:after="0" w:line="408" w:lineRule="exact"/>
        <w:ind w:left="0" w:right="0" w:firstLine="576"/>
        <w:jc w:val="left"/>
      </w:pPr>
      <w:r>
        <w:rPr/>
        <w:t xml:space="preserve">(a) Capping family child care expenses at seven percent of a family's income for subsidized child care;</w:t>
      </w:r>
    </w:p>
    <w:p>
      <w:pPr>
        <w:spacing w:before="0" w:after="0" w:line="408" w:lineRule="exact"/>
        <w:ind w:left="0" w:right="0" w:firstLine="576"/>
        <w:jc w:val="left"/>
      </w:pPr>
      <w:r>
        <w:rPr/>
        <w:t xml:space="preserve">(b) Setting working connections child care subsidy rates at a level adequate to fund basic components of quality, reflect regional differences, and competitively compensate caregivers; and</w:t>
      </w:r>
    </w:p>
    <w:p>
      <w:pPr>
        <w:spacing w:before="0" w:after="0" w:line="408" w:lineRule="exact"/>
        <w:ind w:left="0" w:right="0" w:firstLine="576"/>
        <w:jc w:val="left"/>
      </w:pPr>
      <w:r>
        <w:rPr/>
        <w:t xml:space="preserve">(c) Establishing the goal of universal child care access for all Washington families by 2025.</w:t>
      </w:r>
    </w:p>
    <w:p>
      <w:pPr>
        <w:spacing w:before="0" w:after="0" w:line="408" w:lineRule="exact"/>
        <w:ind w:left="0" w:right="0" w:firstLine="576"/>
        <w:jc w:val="left"/>
      </w:pPr>
      <w:r>
        <w:rPr/>
        <w:t xml:space="preserve">(5) Further, while the system awaits systemic change, immediate steps must be taken to begin to preserve and expand access to child care for child care subsidy recipients, stabilize the child care industry, and reduce turnover in the workforce. Therefore, the legislature intends to:</w:t>
      </w:r>
    </w:p>
    <w:p>
      <w:pPr>
        <w:spacing w:before="0" w:after="0" w:line="408" w:lineRule="exact"/>
        <w:ind w:left="0" w:right="0" w:firstLine="576"/>
        <w:jc w:val="left"/>
      </w:pPr>
      <w:r>
        <w:rPr/>
        <w:t xml:space="preserve">(a) Raise base subsidy rates for licensed child care centers and family homes to the seventy-fifth percentile of market rates and further incentivize the provision of care for infants and toddlers by considering rates for providers serving these young children; and</w:t>
      </w:r>
    </w:p>
    <w:p>
      <w:pPr>
        <w:spacing w:before="0" w:after="0" w:line="408" w:lineRule="exact"/>
        <w:ind w:left="0" w:right="0" w:firstLine="576"/>
        <w:jc w:val="left"/>
      </w:pPr>
      <w:r>
        <w:rPr/>
        <w:t xml:space="preserve">(b) Fund the career and wage ladder described in RCW 43.216.675 for all licensed child care centers and family home providers who are participating in early achievers. The department of children, youth, and families may additionally assist child care facilities that are participating in early achievers and who have adopted the career ladder, with wage increments for child care workers who gain additional work experience or work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enter into one or more contracts for the development of a regional assessment of the child care industry in Washington in order to better understand issues affecting child care access and affordability for families.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families and homeless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an analysis of the industry's measurable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5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w:t>
      </w:r>
      <w:r>
        <w:t>((</w:t>
      </w:r>
      <w:r>
        <w:rPr>
          <w:strike/>
        </w:rPr>
        <w:t xml:space="preserve">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w:t>
      </w:r>
      <w:r>
        <w:t>((</w:t>
      </w:r>
      <w:r>
        <w:rPr>
          <w:strike/>
        </w:rPr>
        <w:t xml:space="preserve">and</w:t>
      </w:r>
      <w:r>
        <w:t>))</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r>
        <w:rPr>
          <w:u w:val="single"/>
        </w:rPr>
        <w:t xml:space="preserve">;</w:t>
      </w:r>
    </w:p>
    <w:p>
      <w:pPr>
        <w:spacing w:before="0" w:after="0" w:line="408" w:lineRule="exact"/>
        <w:ind w:left="0" w:right="0" w:firstLine="576"/>
        <w:jc w:val="left"/>
      </w:pPr>
      <w:r>
        <w:rPr>
          <w:u w:val="single"/>
        </w:rPr>
        <w:t xml:space="preserve">(g) One private school provider representing the Washington federation of independent schools;</w:t>
      </w:r>
    </w:p>
    <w:p>
      <w:pPr>
        <w:spacing w:before="0" w:after="0" w:line="408" w:lineRule="exact"/>
        <w:ind w:left="0" w:right="0" w:firstLine="576"/>
        <w:jc w:val="left"/>
      </w:pPr>
      <w:r>
        <w:rPr>
          <w:u w:val="single"/>
        </w:rPr>
        <w:t xml:space="preserve">(h) One representative of a statewide grassroots advocacy organization representing the interests of parents;</w:t>
      </w:r>
    </w:p>
    <w:p>
      <w:pPr>
        <w:spacing w:before="0" w:after="0" w:line="408" w:lineRule="exact"/>
        <w:ind w:left="0" w:right="0" w:firstLine="576"/>
        <w:jc w:val="left"/>
      </w:pPr>
      <w:r>
        <w:rPr>
          <w:u w:val="single"/>
        </w:rPr>
        <w:t xml:space="preserve">(i)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(j) An early learning policy expert;</w:t>
      </w:r>
    </w:p>
    <w:p>
      <w:pPr>
        <w:spacing w:before="0" w:after="0" w:line="408" w:lineRule="exact"/>
        <w:ind w:left="0" w:right="0" w:firstLine="576"/>
        <w:jc w:val="left"/>
      </w:pPr>
      <w:r>
        <w:rPr>
          <w:u w:val="single"/>
        </w:rPr>
        <w:t xml:space="preserve">(k) One representative of a nonprofit public policy center focused on economic opportunity; and</w:t>
      </w:r>
    </w:p>
    <w:p>
      <w:pPr>
        <w:spacing w:before="0" w:after="0" w:line="408" w:lineRule="exact"/>
        <w:ind w:left="0" w:right="0" w:firstLine="576"/>
        <w:jc w:val="left"/>
      </w:pPr>
      <w:r>
        <w:rPr>
          <w:u w:val="single"/>
        </w:rPr>
        <w:t xml:space="preserve">(l)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legislatively directed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 and</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(vi) Prioritizing, in the event of a working connections child care program waitlist: Families experiencing homelessness; families who qualify for early head start, head start, or the early childhood education and assistance program; and families with incomes at or below two hundred percent of the federal poverty level.</w:t>
      </w:r>
    </w:p>
    <w:p>
      <w:pPr>
        <w:spacing w:before="0" w:after="0" w:line="408" w:lineRule="exact"/>
        <w:ind w:left="0" w:right="0" w:firstLine="576"/>
        <w:jc w:val="left"/>
      </w:pPr>
      <w:r>
        <w:rPr/>
        <w:t xml:space="preserve">(2) By July 1, 2020, the task force must submit its findings and required implementation plan pursuant to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5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
      <w:pPr>
        <w:jc w:val="center"/>
      </w:pPr>
      <w:r>
        <w:rPr>
          <w:b/>
        </w:rPr>
        <w:t>--- END ---</w:t>
      </w:r>
    </w:p>
    <w:sectPr>
      <w:pgNumType w:start="1"/>
      <w:footerReference xmlns:r="http://schemas.openxmlformats.org/officeDocument/2006/relationships" r:id="Rdaaa134c40af4e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47b3e898e4ad7" /><Relationship Type="http://schemas.openxmlformats.org/officeDocument/2006/relationships/footer" Target="/word/footer1.xml" Id="Rdaaa134c40af4ebb" /></Relationships>
</file>