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d24b3822544ac3" /></Relationships>
</file>

<file path=word/document.xml><?xml version="1.0" encoding="utf-8"?>
<w:document xmlns:w="http://schemas.openxmlformats.org/wordprocessingml/2006/main">
  <w:body>
    <w:p>
      <w:r>
        <w:t>H-0711.1</w:t>
      </w:r>
    </w:p>
    <w:p>
      <w:pPr>
        <w:jc w:val="center"/>
      </w:pPr>
      <w:r>
        <w:t>_______________________________________________</w:t>
      </w:r>
    </w:p>
    <w:p/>
    <w:p>
      <w:pPr>
        <w:jc w:val="center"/>
      </w:pPr>
      <w:r>
        <w:rPr>
          <w:b/>
        </w:rPr>
        <w:t>HOUSE BILL 1371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Eslick, Pollet, Irwin, Appleton, Griffey, Stokesbary, Senn, Thai, and Doglio</w:t>
      </w:r>
    </w:p>
    <w:p/>
    <w:p>
      <w:r>
        <w:rPr>
          <w:t xml:space="preserve">Read first time 01/21/19.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parks benefit districts; adding a new section to chapter 35.21 RCW; adding a new section to chapter 35.61 RCW; adding a new section to chapter 36.69 RCW; adding a new section to chapter 82.14 RCW;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the most recent office of financial management forecasts estimating nearly two million more people by the year 2040.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growth, impacted heavily by the great recession, and with limited resources are seeing a rapidly growing maintenance backlog that mirrors the experience of Washington state parks.</w:t>
      </w:r>
    </w:p>
    <w:p>
      <w:pPr>
        <w:spacing w:before="0" w:after="0" w:line="408" w:lineRule="exact"/>
        <w:ind w:left="0" w:right="0" w:firstLine="576"/>
        <w:jc w:val="left"/>
      </w:pPr>
      <w:r>
        <w:rPr/>
        <w:t xml:space="preserve">The legislature also finds that local parks agencies are dealing with a tremendous growth in the number of sports participants and a corollary of sharp increases in demand for local athletic fields, including a nearly three hundred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 This goal can be better achieved by enabling local parks and recreation agencies to establish parks benefit districts in much the same way that the legislature empowered cities and counties to form transportation benefit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parks benefit district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authority of a county, city, metropolitan park district under chapter 35.61 RCW, or park and recreation district under chapter 36.69 RCW may establish a parks benefit district within the county or city area for the purpose of acquiring, constructing, improving, providing, and funding park maintenance and improvement within the district. The park maintenance and improvements shall be owned by: (a) The county of jurisdiction if located in an unincorporated area, or (b) the city of jurisdiction if located in an incorporated area. Park maintenance and improvements shall be administered and maintained as other public park maintenance and improvements.</w:t>
      </w:r>
    </w:p>
    <w:p>
      <w:pPr>
        <w:spacing w:before="0" w:after="0" w:line="408" w:lineRule="exact"/>
        <w:ind w:left="0" w:right="0" w:firstLine="576"/>
        <w:jc w:val="left"/>
      </w:pPr>
      <w:r>
        <w:rPr/>
        <w:t xml:space="preserve">(2) The members of the legislative authority proposing to establish the district, acting ex officio and independently, shall constitute the governing body of the district.</w:t>
      </w:r>
    </w:p>
    <w:p>
      <w:pPr>
        <w:spacing w:before="0" w:after="0" w:line="408" w:lineRule="exact"/>
        <w:ind w:left="0" w:right="0" w:firstLine="576"/>
        <w:jc w:val="left"/>
      </w:pPr>
      <w:r>
        <w:rPr/>
        <w:t xml:space="preserve">(3)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(4) The electors of the district shall all be registered voters residing within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district is a quasi-municipal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(2) A district constitutes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to acquire, hold, and dispose of real and personal property, and to sue and be sued. Public works contract limits applicable to the jurisdiction that established the district apply to the district.</w:t>
      </w:r>
    </w:p>
    <w:p>
      <w:pPr>
        <w:spacing w:before="0" w:after="0" w:line="408" w:lineRule="exact"/>
        <w:ind w:left="0" w:right="0" w:firstLine="576"/>
        <w:jc w:val="left"/>
      </w:pPr>
      <w:r>
        <w:rPr/>
        <w:t xml:space="preserve">(3) To carry out the purposes of this chapter, and subject to the provisions of section 7 of this act, a district is authorized to impose a sales and use tax in accordance with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authorities proposing to establish a district, modify the boundaries of an existing district, or dissolve an existing district, when all indebtedness of the district has been retired and anticipated responsibilities have been satisfied, shall conduct a hearing at the time and place specified in a notice published at least once, not less than ten days before the hearing, in a newspaper of general circulation within the proposed district. This notice shall be in addition to any other notice required by law to be published. The notice shall, where applicable, specify the functions or activities proposed to be provided or funded, or the additional functions or activities proposed to be provided or funded, by the district. Additional notice of the hearing may be given by mail, by posting within the proposed district, or in any manner the legislative authorities deem necessary to notify affected persons. All hearings shall be public and the legislative authorities shall hear objections from any person affected by the formation, modification of the boundaries, or dissolution of the district.</w:t>
      </w:r>
    </w:p>
    <w:p>
      <w:pPr>
        <w:spacing w:before="0" w:after="0" w:line="408" w:lineRule="exact"/>
        <w:ind w:left="0" w:right="0" w:firstLine="576"/>
        <w:jc w:val="left"/>
      </w:pPr>
      <w:r>
        <w:rPr/>
        <w:t xml:space="preserve">(2)(a) Following a hearing held pursuant to subsection (1) of this section, the legislative authorities may establish a district, modify the boundaries or functions of an existing district, or dissolve an existing district, if the legislative authorities find the action to be in the public interest and adopt an ordinance providing for the action.</w:t>
      </w:r>
    </w:p>
    <w:p>
      <w:pPr>
        <w:spacing w:before="0" w:after="0" w:line="408" w:lineRule="exact"/>
        <w:ind w:left="0" w:right="0" w:firstLine="576"/>
        <w:jc w:val="left"/>
      </w:pPr>
      <w:r>
        <w:rPr/>
        <w:t xml:space="preserve">(b) The ordinance establishing a district shall specify the functions and parks maintenance and improvements to be exercised or funded and establish the boundaries of the district. Subject to the provisions of section 18 of this act, functions or parks maintenance and improvements proposed to be provided or funded by the district may not be expanded beyond those specified in the notice of hearing, unless additional notices are made, further hearings on the expansion are held, and further determinations are made that it is in the public interest to so expand the functions or parks maintenance and improvements proposed to be provided or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(4) of this section, taxes, fees, and charges may not be imposed by a district without approval of a majority of the voters in the district voting on a proposition at a general or special election. The proposition must include a specific description of: (a) The park maintenance or improvements proposed by the district; and (b) the proposed taxes, fees, and charges imposed by the district to raise revenue to fund the maintenance and improvement, as applicable.</w:t>
      </w:r>
    </w:p>
    <w:p>
      <w:pPr>
        <w:spacing w:before="0" w:after="0" w:line="408" w:lineRule="exact"/>
        <w:ind w:left="0" w:right="0" w:firstLine="576"/>
        <w:jc w:val="left"/>
      </w:pPr>
      <w:r>
        <w:rPr/>
        <w:t xml:space="preserve">(2) Voter approval under this section must be accorded substantial weight regarding the validity of a park maintenance and improvement.</w:t>
      </w:r>
    </w:p>
    <w:p>
      <w:pPr>
        <w:spacing w:before="0" w:after="0" w:line="408" w:lineRule="exact"/>
        <w:ind w:left="0" w:right="0" w:firstLine="576"/>
        <w:jc w:val="left"/>
      </w:pPr>
      <w:r>
        <w:rPr/>
        <w:t xml:space="preserve">(3) A district may not increase any taxes, fees, or charges imposed under this chapter once the taxes, fees, or charges take effect, except if authorized by the district voters pursuant to section 22 of this act.</w:t>
      </w:r>
    </w:p>
    <w:p>
      <w:pPr>
        <w:spacing w:before="0" w:after="0" w:line="408" w:lineRule="exact"/>
        <w:ind w:left="0" w:right="0" w:firstLine="576"/>
        <w:jc w:val="left"/>
      </w:pPr>
      <w:r>
        <w:rPr/>
        <w:t xml:space="preserve">(4) A district that includes all the territory within the boundaries of the jurisdiction or jurisdictions establishing the district may impose, by a majority vote of the governing board of the district, a fee or charge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carry out the purposes of this chapter and notwithstanding RCW 39.36.020(1), a district may issue general obligation bonds, not to exceed an amount, together with any other outstanding nonvoter-approved general obligation indebtedness, equal to one and one-half percent of the value of taxable property within the district, as the term "value of the taxable property" is defined in RCW 39.36.015. A district may additionally issue general obligation bonds for capital purposes only, together with any outstanding general obligation indebtedness, not to exceed an amount equal to five percent of the value of the taxable property within the district, as the term "value of the taxable property" is defined in RCW 39.36.015, when authorized by the voters of the district pursuant to Article VIII, section 6 of the state Constitution.</w:t>
      </w:r>
    </w:p>
    <w:p>
      <w:pPr>
        <w:spacing w:before="0" w:after="0" w:line="408" w:lineRule="exact"/>
        <w:ind w:left="0" w:right="0" w:firstLine="576"/>
        <w:jc w:val="left"/>
      </w:pPr>
      <w:r>
        <w:rPr/>
        <w:t xml:space="preserve">(2) General obligation bonds with a maturity in excess of forty years shall not be issued. The governing body of the district shall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district may specifically pledge all or a portion of the revenues, charges, user fees, or special assessments to refund the general obligation bonds. The district may also pledge any other revenues that may be available to the district.</w:t>
      </w:r>
    </w:p>
    <w:p>
      <w:pPr>
        <w:spacing w:before="0" w:after="0" w:line="408" w:lineRule="exact"/>
        <w:ind w:left="0" w:right="0" w:firstLine="576"/>
        <w:jc w:val="left"/>
      </w:pPr>
      <w:r>
        <w:rPr/>
        <w:t xml:space="preserve">(4) In addition to general obligation bonds, a district may issue revenue bonds to be issued and sold in accordance with chapter 39.46 RCW.</w:t>
      </w:r>
    </w:p>
    <w:p>
      <w:pPr>
        <w:spacing w:before="0" w:after="0" w:line="408" w:lineRule="exact"/>
        <w:ind w:left="0" w:right="0" w:firstLine="576"/>
        <w:jc w:val="left"/>
      </w:pPr>
      <w:r>
        <w:rPr/>
        <w:t xml:space="preserve">(5) Revenue generated by impact fees shall not be used to guarantee or retire bonds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district may form a parks improvement district to provide any park maintenance and improvement it has the authority to provide, impose special assessments on all property specially benefited by the park maintenance and improvement, and issue special assessment bonds or revenue bonds to fund the costs of the park maintenance and improvement. Parks improvement districts shall be created and administered, and assessments shall be made and collected, in the manner and to the extent provided by law to cities and towns pursuant to chapters 35.43, 35.44, 35.49, 35.50, 35.51, 35.53, and 35.54 RCW. However, the duties devolving upon the city or town treasurer under these chapters shall be imposed upon the district treasurer for the purposes of this section. A parks improvement district may only be formed under this section pursuant to the petition method under RCW 35.43.120 and 35.43.125.</w:t>
      </w:r>
    </w:p>
    <w:p>
      <w:pPr>
        <w:spacing w:before="0" w:after="0" w:line="408" w:lineRule="exact"/>
        <w:ind w:left="0" w:right="0" w:firstLine="576"/>
        <w:jc w:val="left"/>
      </w:pPr>
      <w:r>
        <w:rPr/>
        <w:t xml:space="preserve">(2) The governing body of a district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shall not exceed thirty years beyond the date of issue. Special assessment bonds issued pursuant to this section shall not be an indebtedness of the district issuing the bonds, and the interest and principal on the bonds shall only be payable from special assessments made for the improvement for which the bonds were issued and any park maintenance and improvement guaranty fund that the district has created. The owner or bearer of a special assessment bond or any interest coupon issued pursuant to this section shall not have any claim against the district arising from the bond or coupon except for the payment from special assessments made for the maintenance and improvement for which the bonds were issued and any park maintenance and improvement guaranty fund the district has created. The district issuing the special assessment bonds is not liable to the owner or bearer of any special assessment bond or any interest coupon issued pursuant to this section for any loss occurring in the lawful operation of its park maintenance and improvement guaranty fund. The substance of the limitations included in this subsection shall be plainly printed, written, or engraved on each special assessment bond issued pursuant to this section.</w:t>
      </w:r>
    </w:p>
    <w:p>
      <w:pPr>
        <w:spacing w:before="0" w:after="0" w:line="408" w:lineRule="exact"/>
        <w:ind w:left="0" w:right="0" w:firstLine="576"/>
        <w:jc w:val="left"/>
      </w:pPr>
      <w:r>
        <w:rPr/>
        <w:t xml:space="preserve">(3) Assessments shall reflect any credits given by a district for real property or property right donations made pursuant to RCW 47.14.030.</w:t>
      </w:r>
    </w:p>
    <w:p>
      <w:pPr>
        <w:spacing w:before="0" w:after="0" w:line="408" w:lineRule="exact"/>
        <w:ind w:left="0" w:right="0" w:firstLine="576"/>
        <w:jc w:val="left"/>
      </w:pPr>
      <w:r>
        <w:rPr/>
        <w:t xml:space="preserve">(4) The governing body may establish, administer, and pay money into a park maintenance and improvement guaranty fund, in the manner and to the extent provided by law to cities and towns under chapter 35.54 RCW, to guarantee special assessment bonds issued by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physical bonds are issued pursuant to section 8 or 9 of this act, the bonds shall be printed, engraved, or lithographed on good bond paper and the manual or facsimile signatures of both the treasurer and chairperson of the governing body shall be included on each bond.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of any bond issued pursuant to section 8 or 9 of this act may be used to pay costs incurred on a bond issue related to the sale and issuance of the bonds. These costs include payments for fiscal and legal expenses, obtaining bond ratings, printing, engraving, advertising, and other similar activities.</w:t>
      </w:r>
    </w:p>
    <w:p>
      <w:pPr>
        <w:spacing w:before="0" w:after="0" w:line="408" w:lineRule="exact"/>
        <w:ind w:left="0" w:right="0" w:firstLine="576"/>
        <w:jc w:val="left"/>
      </w:pPr>
      <w:r>
        <w:rPr/>
        <w:t xml:space="preserve">(2) In addition, proceeds of bonds used to fund capital projects may be used to pay the necessary and related engineering, architectural, planning, and inspection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district may accept and expend or use gifts, grants, and donations.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in section 7 of this act, a district may impose a fee or charge on the construction or reconstruction of commercial buildings, industrial buildings, or on any other commercial or industrial building or building space or appurtenance, or on the development, subdivision, classification, or reclassification of land for commercial purposes, only if done in accordance with chapter 39.92 RCW.</w:t>
      </w:r>
    </w:p>
    <w:p>
      <w:pPr>
        <w:spacing w:before="0" w:after="0" w:line="408" w:lineRule="exact"/>
        <w:ind w:left="0" w:right="0" w:firstLine="576"/>
        <w:jc w:val="left"/>
      </w:pPr>
      <w:r>
        <w:rPr/>
        <w:t xml:space="preserve">(2) Any fee or charge imposed under this section shall be used exclusively for park maintenance and improvement. The fees or charges imposed must be reasonably necessary as a result of the impact of development, construction, or classification or reclassification of land on identified park needs.</w:t>
      </w:r>
    </w:p>
    <w:p>
      <w:pPr>
        <w:spacing w:before="0" w:after="0" w:line="408" w:lineRule="exact"/>
        <w:ind w:left="0" w:right="0" w:firstLine="576"/>
        <w:jc w:val="left"/>
      </w:pPr>
      <w:r>
        <w:rPr/>
        <w:t xml:space="preserve">(3) If a county or city within the district area is levying a fee or charge for park maintenance and improvement, the fee or charge shall be credited against the amount of the fee or charge imposed by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district has the same powers as a county or city to contract for park maintenance and improvement projects and to enter into reimbursement contracts provided for in chapter 35.72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Counties, cities, and other jurisdictions may give funds to districts for the purposes of financing park maintenance and improvement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district governing body shall develop a material change policy to address major plan changes that affect project delivery or the ability to finance the plan. The policy must at least address material changes to cost, scope, and schedule; the level of change that will require governing body involvement; and how the governing body will address those changes. At a minimum, in the event that a park's maintenance and improvement cost exceeds its original cost by more than twenty percent as identified in a district's original finance plan, the governing body shall hold a public hearing to solicit comment from the public regarding how the cost change should be resolved.</w:t>
      </w:r>
    </w:p>
    <w:p>
      <w:pPr>
        <w:spacing w:before="0" w:after="0" w:line="408" w:lineRule="exact"/>
        <w:ind w:left="0" w:right="0" w:firstLine="576"/>
        <w:jc w:val="left"/>
      </w:pPr>
      <w:r>
        <w:rPr/>
        <w:t xml:space="preserve">(2) A district shall issue an annual report, indicating the status of park maintenance and improvement costs, park maintenance and improvement expenditures, revenues, and construction schedules to the public and to newspapers of record 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and this chapter shall be liberally construed to permit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authority of a county may establish a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18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authority of a metropolitan park district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The authority of a park and recreation district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provisions in section 7 of this act, a parks benefit district under this act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one-tenth of one percent of the selling price in the case of a sales tax, or value of the article used in the case of a use tax. Except as provided in subsection (2) of this section, the tax may not be imposed for a period exceeding ten years. This tax, if not imposed under the conditions of subsection (2) of this section, may be extended for a period not exceeding ten years with an affirmative vote of the voters voting at the election.</w:t>
      </w:r>
    </w:p>
    <w:p>
      <w:pPr>
        <w:spacing w:before="0" w:after="0" w:line="408" w:lineRule="exact"/>
        <w:ind w:left="0" w:right="0" w:firstLine="576"/>
        <w:jc w:val="left"/>
      </w:pPr>
      <w:r>
        <w:rPr/>
        <w:t xml:space="preserve">(2) The voter-approved sales tax initially imposed under this section after July 1, 2019, may be imposed for a period exceeding ten years if the moneys received under this section are dedicated for the repayment of indebtedness incurred in accordance with the requirements of this act.</w:t>
      </w:r>
    </w:p>
    <w:p>
      <w:pPr>
        <w:spacing w:before="0" w:after="0" w:line="408" w:lineRule="exact"/>
        <w:ind w:left="0" w:right="0" w:firstLine="576"/>
        <w:jc w:val="left"/>
      </w:pPr>
      <w:r>
        <w:rPr/>
        <w:t xml:space="preserve">(3) Money received from the tax imposed under this section must be spent in accordance with the requirements of this act and the district may deduct no more than three percent of the tax collected for administration and collection expenses incurred by it.</w:t>
      </w:r>
    </w:p>
    <w:p/>
    <w:p>
      <w:pPr>
        <w:jc w:val="center"/>
      </w:pPr>
      <w:r>
        <w:rPr>
          <w:b/>
        </w:rPr>
        <w:t>--- END ---</w:t>
      </w:r>
    </w:p>
    <w:sectPr>
      <w:pgNumType w:start="1"/>
      <w:footerReference xmlns:r="http://schemas.openxmlformats.org/officeDocument/2006/relationships" r:id="R1bfbc74209b148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aa49943414e5a" /><Relationship Type="http://schemas.openxmlformats.org/officeDocument/2006/relationships/footer" Target="/word/footer1.xml" Id="R1bfbc74209b1489f" /></Relationships>
</file>