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ac94e0d5e4c31" /></Relationships>
</file>

<file path=word/document.xml><?xml version="1.0" encoding="utf-8"?>
<w:document xmlns:w="http://schemas.openxmlformats.org/wordprocessingml/2006/main">
  <w:body>
    <w:p>
      <w:r>
        <w:t>H-0460.2</w:t>
      </w:r>
    </w:p>
    <w:p>
      <w:pPr>
        <w:jc w:val="center"/>
      </w:pPr>
      <w:r>
        <w:t>_______________________________________________</w:t>
      </w:r>
    </w:p>
    <w:p/>
    <w:p>
      <w:pPr>
        <w:jc w:val="center"/>
      </w:pPr>
      <w:r>
        <w:rPr>
          <w:b/>
        </w:rPr>
        <w:t>HOUSE BILL 1379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Hudgins, Appleton, Gregerson, Pollet, Macri, Valdez, Kloba, Bergquist, Tarleton, Doglio, Frame, Goodman, Reeves, and Fey</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seven hundred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seven hundred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sponsor shall not be liable for a violation of this section where the persons or entities making the largest contributions to the advertisement fail to report to the commission contributions to the sponsor.</w:t>
      </w:r>
    </w:p>
    <w:p>
      <w:pPr>
        <w:spacing w:before="0" w:after="0" w:line="408" w:lineRule="exact"/>
        <w:ind w:left="0" w:right="0" w:firstLine="576"/>
        <w:jc w:val="left"/>
      </w:pPr>
      <w:r>
        <w:rPr/>
        <w:t xml:space="preserve">(4) The commission is authorized to adopt rules, as needed, to prevent circumvention and effectuate the purposes of top five contributors information requirements,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600521c954b04c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496077adf4a2c" /><Relationship Type="http://schemas.openxmlformats.org/officeDocument/2006/relationships/footer" Target="/word/footer1.xml" Id="R600521c954b04ca1" /></Relationships>
</file>