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68c2eff4c4dc2" /></Relationships>
</file>

<file path=word/document.xml><?xml version="1.0" encoding="utf-8"?>
<w:document xmlns:w="http://schemas.openxmlformats.org/wordprocessingml/2006/main">
  <w:body>
    <w:p>
      <w:r>
        <w:t>Z-0070.1</w:t>
      </w:r>
    </w:p>
    <w:p>
      <w:pPr>
        <w:jc w:val="center"/>
      </w:pPr>
      <w:r>
        <w:t>_______________________________________________</w:t>
      </w:r>
    </w:p>
    <w:p/>
    <w:p>
      <w:pPr>
        <w:jc w:val="center"/>
      </w:pPr>
      <w:r>
        <w:rPr>
          <w:b/>
        </w:rPr>
        <w:t>HOUSE BILL 1430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MacEwen and Stanford; by request of Liquor and Cannabis Board</w:t>
      </w:r>
    </w:p>
    <w:p/>
    <w:p>
      <w:r>
        <w:rPr>
          <w:t xml:space="preserve">Read first time 01/22/19.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licensing and enforcement system modernization project account; amending RCW 66.08.260;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260</w:t>
      </w:r>
      <w:r>
        <w:rPr/>
        <w:t xml:space="preserve"> and 2015 3rd sp.s. c 26 s 3 are each amended to read as follows:</w:t>
      </w:r>
    </w:p>
    <w:p>
      <w:pPr>
        <w:spacing w:before="0" w:after="0" w:line="408" w:lineRule="exact"/>
        <w:ind w:left="0" w:right="0" w:firstLine="576"/>
        <w:jc w:val="left"/>
      </w:pPr>
      <w:r>
        <w:rPr/>
        <w:t xml:space="preserve">(1) The licensing and enforcement system modernization project account is created in the custody of the state treasurer. All receipts from RCW 66.08.2601 and 66.08.2602 must be deposited into the account. Expenditures from the account may be only used for the expenses of replacing and modernizing the board's licensing, enforcement, and imaging system. The expenditures may be expended for automation of licenses and permits, electronic payments, data warehousing, project management and system testing, consulting, contracting, and staff time, and any necessary data conversion, software, hardware, and related equipment costs. Before making expenditures from the account, the board must conduct a thorough business process examination to ensure the new system provides efficient and effective service delivery. As part of the examination, the board must evaluate and articulate how any new system procurement serves the current and future needs of the internal and external stakeholders, the customers, and the public. Only the director of the board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w:t>
      </w:r>
      <w:r>
        <w:t>((</w:t>
      </w:r>
      <w:r>
        <w:rPr>
          <w:strike/>
        </w:rPr>
        <w:t xml:space="preserve">June 30, 2019</w:t>
      </w:r>
      <w:r>
        <w:t>))</w:t>
      </w:r>
      <w:r>
        <w:rPr/>
        <w:t xml:space="preserve"> </w:t>
      </w:r>
      <w:r>
        <w:rPr>
          <w:u w:val="single"/>
        </w:rPr>
        <w:t xml:space="preserve">September 1, 2023</w:t>
      </w:r>
      <w:r>
        <w:rPr/>
        <w:t xml:space="preserve">.</w:t>
      </w:r>
    </w:p>
    <w:p/>
    <w:p>
      <w:pPr>
        <w:jc w:val="center"/>
      </w:pPr>
      <w:r>
        <w:rPr>
          <w:b/>
        </w:rPr>
        <w:t>--- END ---</w:t>
      </w:r>
    </w:p>
    <w:sectPr>
      <w:pgNumType w:start="1"/>
      <w:footerReference xmlns:r="http://schemas.openxmlformats.org/officeDocument/2006/relationships" r:id="R1acd0574e63e4b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a569df22d9480a" /><Relationship Type="http://schemas.openxmlformats.org/officeDocument/2006/relationships/footer" Target="/word/footer1.xml" Id="R1acd0574e63e4b3c" /></Relationships>
</file>