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b5177174e8401d" /></Relationships>
</file>

<file path=word/document.xml><?xml version="1.0" encoding="utf-8"?>
<w:document xmlns:w="http://schemas.openxmlformats.org/wordprocessingml/2006/main">
  <w:body>
    <w:p>
      <w:r>
        <w:t>H-0789.1</w:t>
      </w:r>
    </w:p>
    <w:p>
      <w:pPr>
        <w:jc w:val="center"/>
      </w:pPr>
      <w:r>
        <w:t>_______________________________________________</w:t>
      </w:r>
    </w:p>
    <w:p/>
    <w:p>
      <w:pPr>
        <w:jc w:val="center"/>
      </w:pPr>
      <w:r>
        <w:rPr>
          <w:b/>
        </w:rPr>
        <w:t>HOUSE BILL 1443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Chapman, Maycumber, Tharinger, Blake, and Schmick</w:t>
      </w:r>
    </w:p>
    <w:p/>
    <w:p>
      <w:r>
        <w:rPr>
          <w:t xml:space="preserve">Read first time 01/22/19.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tax preferences in RCW 82.04.260(12); amending RCW 82.04.260;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2018 c 164 s 3 are each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2025,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Except as provided otherwise in (c)(iii) of this subsection, from July 1, 2025, until January 1, 2036,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marijuana-infused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seventy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2025,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marijuana, useable marijuana, or marijuana-infused products; and</w:t>
      </w:r>
    </w:p>
    <w:p>
      <w:pPr>
        <w:spacing w:before="0" w:after="0" w:line="408" w:lineRule="exact"/>
        <w:ind w:left="0" w:right="0" w:firstLine="576"/>
        <w:jc w:val="left"/>
      </w:pPr>
      <w:r>
        <w:rPr/>
        <w:t xml:space="preserve">(e) Wood biomass fuel; as to such persons the amount of tax with respect to the business is equal to the value of wood biomass fuel manufactured, multiplied by the rate of 0.138 percent. For the purposes of this section, "wood biomass fuel" means a liquid or gaseous fuel that is produced from lignocellulosic feedstocks, including wood, forest, </w:t>
      </w:r>
      <w:r>
        <w:t>((</w:t>
      </w:r>
      <w:r>
        <w:rPr>
          <w:strike/>
        </w:rPr>
        <w:t xml:space="preserve">[or]</w:t>
      </w:r>
      <w:r>
        <w:t>))</w:t>
      </w:r>
      <w:r>
        <w:rPr/>
        <w:t xml:space="preserve"> </w:t>
      </w:r>
      <w:r>
        <w:rPr>
          <w:u w:val="single"/>
        </w:rPr>
        <w:t xml:space="preserve">or</w:t>
      </w:r>
      <w:r>
        <w:rPr/>
        <w:t xml:space="preserve"> field residue</w:t>
      </w:r>
      <w:r>
        <w:t>((</w:t>
      </w:r>
      <w:r>
        <w:rPr>
          <w:strike/>
        </w:rPr>
        <w:t xml:space="preserve">,</w:t>
      </w:r>
      <w:r>
        <w:t>))</w:t>
      </w:r>
      <w:r>
        <w:rPr/>
        <w:t xml:space="preserve"> and dedicated energy crops, and that does not include wood treated with chemical preservations such as creosote, pentachlorophenol, or copper-chrome-arsenic.</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 Upon every person engaging within this state in the business of acting as a travel agent or tour operator;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(8)(a) Upon every person engaging within this state in the business of disposing of low-level waste, as defined in RCW 43.145.010; as to such persons the amount of the tax with respect to such business is equal to the gross income of the business, excluding any fees imposed under chapter 43.200 RCW, multiplied by the rate of 3.3 percent.</w:t>
      </w:r>
    </w:p>
    <w:p>
      <w:pPr>
        <w:spacing w:before="0" w:after="0" w:line="408" w:lineRule="exact"/>
        <w:ind w:left="0" w:right="0" w:firstLine="576"/>
        <w:jc w:val="left"/>
      </w:pPr>
      <w:r>
        <w:rPr/>
        <w:t xml:space="preserve">(b) 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 and</w:t>
      </w:r>
    </w:p>
    <w:p>
      <w:pPr>
        <w:spacing w:before="0" w:after="0" w:line="408" w:lineRule="exact"/>
        <w:ind w:left="0" w:right="0" w:firstLine="576"/>
        <w:jc w:val="left"/>
      </w:pPr>
      <w:r>
        <w:rPr/>
        <w:t xml:space="preserve">(ii) 0.2904 percent beginning July 1, 2007.</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 0.2904 percent.</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 In addition to all other requirements under this title, a person reporting under the tax rate provided in this subsection (11) must file a complete annual tax performance report with the department under RCW 82.32.534.</w:t>
      </w:r>
    </w:p>
    <w:p>
      <w:pPr>
        <w:spacing w:before="0" w:after="0" w:line="408" w:lineRule="exact"/>
        <w:ind w:left="0" w:right="0" w:firstLine="576"/>
        <w:jc w:val="left"/>
      </w:pPr>
      <w:r>
        <w:rPr/>
        <w:t xml:space="preserve">(e)(i) Except as provided in (e)(ii) of this subsection (11), this subsection (11) does not apply on and after July 1, 2040.</w:t>
      </w:r>
    </w:p>
    <w:p>
      <w:pPr>
        <w:spacing w:before="0" w:after="0" w:line="408" w:lineRule="exact"/>
        <w:ind w:left="0" w:right="0" w:firstLine="576"/>
        <w:jc w:val="left"/>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(11)(e)(ii) only applies to the manufacturing or sale of commercial airplanes that are the basis of a siting of a significant commercial airplane manufacturing program in the state under RCW 82.32.850.</w:t>
      </w:r>
    </w:p>
    <w:p>
      <w:pPr>
        <w:spacing w:before="0" w:after="0" w:line="408" w:lineRule="exact"/>
        <w:ind w:left="0" w:right="0" w:firstLine="576"/>
        <w:jc w:val="left"/>
      </w:pPr>
      <w:r>
        <w:rPr/>
        <w:t xml:space="preserve">(12)(a) Until July 1, 2024,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(b) Until July 1, 2024, upon every person engaging within this state in the business of manufacturing or processing for hire: (i) Timber into timber products or wood products; </w:t>
      </w:r>
      <w:r>
        <w:t>((</w:t>
      </w:r>
      <w:r>
        <w:rPr>
          <w:strike/>
        </w:rPr>
        <w:t xml:space="preserve">or</w:t>
      </w:r>
      <w:r>
        <w:t>))</w:t>
      </w:r>
      <w:r>
        <w:rPr/>
        <w:t xml:space="preserve"> (ii) timber products into other timber products or wood products</w:t>
      </w:r>
      <w:r>
        <w:rPr>
          <w:u w:val="single"/>
        </w:rPr>
        <w:t xml:space="preserve">; or (iii) products defined in RCW 19.27.570(1)</w:t>
      </w:r>
      <w:r>
        <w:rPr/>
        <w:t xml:space="preserve">;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(c) Until July 1, 2024, upon every person engaging within this state in the business of selling at wholesale: (i) Timber extracted by that person; (ii) timber products manufactured by that person from timber or other timber products; </w:t>
      </w:r>
      <w:r>
        <w:t>((</w:t>
      </w:r>
      <w:r>
        <w:rPr>
          <w:strike/>
        </w:rPr>
        <w:t xml:space="preserve">or</w:t>
      </w:r>
      <w:r>
        <w:t>))</w:t>
      </w:r>
      <w:r>
        <w:rPr/>
        <w:t xml:space="preserve"> (iii) wood products manufactured by that person from timber or timber products; </w:t>
      </w:r>
      <w:r>
        <w:rPr>
          <w:u w:val="single"/>
        </w:rPr>
        <w:t xml:space="preserve">or (iv) products defined in RCW 19.27.570(1) manufactured by that person</w:t>
      </w:r>
      <w:r>
        <w:rPr/>
        <w:t xml:space="preserve"> as to such persons the amount of the tax with respect to the business is equal to the gross proceeds of sales of the timber, timber products, </w:t>
      </w:r>
      <w:r>
        <w:t>((</w:t>
      </w:r>
      <w:r>
        <w:rPr>
          <w:strike/>
        </w:rPr>
        <w:t xml:space="preserve">or</w:t>
      </w:r>
      <w:r>
        <w:t>))</w:t>
      </w:r>
      <w:r>
        <w:rPr/>
        <w:t xml:space="preserve"> wood products</w:t>
      </w:r>
      <w:r>
        <w:rPr>
          <w:u w:val="single"/>
        </w:rPr>
        <w:t xml:space="preserve">, or products defined in RCW 19.27.570(1)</w:t>
      </w:r>
      <w:r>
        <w:rPr/>
        <w:t xml:space="preserve">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(d) Until July 1, 2024,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fifty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tax performance report with the department under RCW 82.32.534.</w:t>
      </w:r>
    </w:p>
    <w:p>
      <w:pPr>
        <w:spacing w:before="0" w:after="0" w:line="408" w:lineRule="exact"/>
        <w:ind w:left="0" w:right="0" w:firstLine="576"/>
        <w:jc w:val="left"/>
      </w:pPr>
      <w:r>
        <w:rPr>
          <w:u w:val="single"/>
        </w:rPr>
        <w:t xml:space="preserve">(g) Nothing in this subsection (12) may be construed to affect the taxation of any activity defined as a retail sale in RCW 82.04.050(2) (b) or (c), defined as a wholesale sale in RCW 82.04.060(2), or taxed under RCW 82.04.280(1)(g).</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(14)(a) Upon every person engaging within this state in the business of printing a newspaper, publishing a newspaper, or both, the amount of tax on such business is equal to the gross income of the business multiplied by the rate of 0.35 percent until July 1, 2024, and 0.484 percent thereafter.</w:t>
      </w:r>
    </w:p>
    <w:p>
      <w:pPr>
        <w:spacing w:before="0" w:after="0" w:line="408" w:lineRule="exact"/>
        <w:ind w:left="0" w:right="0" w:firstLine="576"/>
        <w:jc w:val="left"/>
      </w:pPr>
      <w:r>
        <w:rPr/>
        <w:t xml:space="preserve">(b) A person reporting under the tax rate provided in this subsection (14) must file a complete annual tax performance report with the department under RCW 82.32.534.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exempt from RCW 82.32.805 and 82.32.808.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2019.</w:t>
      </w:r>
    </w:p>
    <w:p/>
    <w:p>
      <w:pPr>
        <w:jc w:val="center"/>
      </w:pPr>
      <w:r>
        <w:rPr>
          <w:b/>
        </w:rPr>
        <w:t>--- END ---</w:t>
      </w:r>
    </w:p>
    <w:sectPr>
      <w:pgNumType w:start="1"/>
      <w:footerReference xmlns:r="http://schemas.openxmlformats.org/officeDocument/2006/relationships" r:id="R16bfff170dfb4df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b9429f6fb44c41" /><Relationship Type="http://schemas.openxmlformats.org/officeDocument/2006/relationships/footer" Target="/word/footer1.xml" Id="R16bfff170dfb4df8" /></Relationships>
</file>