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8474456f34b9c" /></Relationships>
</file>

<file path=word/document.xml><?xml version="1.0" encoding="utf-8"?>
<w:document xmlns:w="http://schemas.openxmlformats.org/wordprocessingml/2006/main">
  <w:body>
    <w:p>
      <w:r>
        <w:t>H-0764.2</w:t>
      </w:r>
    </w:p>
    <w:p>
      <w:pPr>
        <w:jc w:val="center"/>
      </w:pPr>
      <w:r>
        <w:t>_______________________________________________</w:t>
      </w:r>
    </w:p>
    <w:p/>
    <w:p>
      <w:pPr>
        <w:jc w:val="center"/>
      </w:pPr>
      <w:r>
        <w:rPr>
          <w:b/>
        </w:rPr>
        <w:t>HOUSE BILL 1463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Reeves, Kirby, Jenkin, Walsh, Stokesbary, Gildon, Chambers, Griffey, Dye, Hoff, Vick, Volz, and Irwin</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notice requirements with respect to tenancies in order to enhance stability for tenants; amending RCW 59.12.030; adding new sections to chapter 59.18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of Washington is experiencing a housing shortage that causes costs to rise in rental housing;</w:t>
      </w:r>
    </w:p>
    <w:p>
      <w:pPr>
        <w:spacing w:before="0" w:after="0" w:line="408" w:lineRule="exact"/>
        <w:ind w:left="0" w:right="0" w:firstLine="576"/>
        <w:jc w:val="left"/>
      </w:pPr>
      <w:r>
        <w:rPr/>
        <w:t xml:space="preserve">(b) The shortage of housing in Washington state is most often due to restrictive local zoning codes that prevent development of otherwise useful land for multifamily housing;</w:t>
      </w:r>
    </w:p>
    <w:p>
      <w:pPr>
        <w:spacing w:before="0" w:after="0" w:line="408" w:lineRule="exact"/>
        <w:ind w:left="0" w:right="0" w:firstLine="576"/>
        <w:jc w:val="left"/>
      </w:pPr>
      <w:r>
        <w:rPr/>
        <w:t xml:space="preserve">(c) The cost of living continues to rise across Washington state, but wages are not concurrently rising with the cost of living;</w:t>
      </w:r>
    </w:p>
    <w:p>
      <w:pPr>
        <w:spacing w:before="0" w:after="0" w:line="408" w:lineRule="exact"/>
        <w:ind w:left="0" w:right="0" w:firstLine="576"/>
        <w:jc w:val="left"/>
      </w:pPr>
      <w:r>
        <w:rPr/>
        <w:t xml:space="preserve">(d) Eviction due to nonpayment of rent is the leading cause of unlawful detainer actions across Washington state;</w:t>
      </w:r>
    </w:p>
    <w:p>
      <w:pPr>
        <w:spacing w:before="0" w:after="0" w:line="408" w:lineRule="exact"/>
        <w:ind w:left="0" w:right="0" w:firstLine="576"/>
        <w:jc w:val="left"/>
      </w:pPr>
      <w:r>
        <w:rPr/>
        <w:t xml:space="preserve">(e) Financial resources often exist within the community to assist tenants with temporary financial assistance when tenants cannot pay their rent;</w:t>
      </w:r>
    </w:p>
    <w:p>
      <w:pPr>
        <w:spacing w:before="0" w:after="0" w:line="408" w:lineRule="exact"/>
        <w:ind w:left="0" w:right="0" w:firstLine="576"/>
        <w:jc w:val="left"/>
      </w:pPr>
      <w:r>
        <w:rPr/>
        <w:t xml:space="preserve">(f) Many tenants are unnecessarily brought into the unlawful detainer process due to a lack of knowledge of residential landlord tenant laws and unfamiliarity with how to access available informational and financial resources.</w:t>
      </w:r>
    </w:p>
    <w:p>
      <w:pPr>
        <w:spacing w:before="0" w:after="0" w:line="408" w:lineRule="exact"/>
        <w:ind w:left="0" w:right="0" w:firstLine="576"/>
        <w:jc w:val="left"/>
      </w:pPr>
      <w:r>
        <w:rPr/>
        <w:t xml:space="preserve">(2) In order to provide additional stability and resources to tenants, the legislature intends to provide additional time for tenants to comply with terms of the rental agreement. The legislature further intends to create a compilation of tenant resources to allow tenants easier access to the tools available to keep them housed.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w:t>
      </w:r>
      <w:r>
        <w:rPr>
          <w:u w:val="single"/>
        </w:rPr>
        <w:t xml:space="preserve">or other charges specified in the rental agreement</w:t>
      </w:r>
      <w:r>
        <w:rPr/>
        <w:t xml:space="preserve">,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five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w:t>
      </w:r>
      <w:r>
        <w:rPr>
          <w:u w:val="single"/>
        </w:rPr>
        <w:t xml:space="preserve">, or five days after service for tenancies under chapter 59.18 RCW</w:t>
      </w:r>
      <w:r>
        <w:rPr/>
        <w:t xml:space="preserve">. Within ten days after the service of such notice</w:t>
      </w:r>
      <w:r>
        <w:rPr>
          <w:u w:val="single"/>
        </w:rPr>
        <w:t xml:space="preserve">, or five days after service for tenancies under chapter 59.18 RCW,</w:t>
      </w:r>
      <w:r>
        <w:rPr/>
        <w:t xml:space="preserv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r>
        <w:rPr>
          <w:u w:val="single"/>
        </w:rPr>
        <w:t xml:space="preserve">, or five days' notice for tenancies under chapter 59.18 RCW</w:t>
      </w:r>
      <w:r>
        <w:rPr/>
        <w:t xml:space="preserve">;</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w:t>
      </w:r>
      <w:r>
        <w:rPr>
          <w:u w:val="single"/>
        </w:rPr>
        <w:t xml:space="preserve">, or five days' notice for tenancies under chapter 59.18 RCW</w:t>
      </w:r>
      <w:r>
        <w:rPr/>
        <w:t xml:space="preserv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maintain a housing information guide for tenants and owners in English and Spanish and, at the discretion of the department, other languages. The guide shall be available on the department's web site, and shall be available in printed form upon request.</w:t>
      </w:r>
    </w:p>
    <w:p>
      <w:pPr>
        <w:spacing w:before="0" w:after="0" w:line="408" w:lineRule="exact"/>
        <w:ind w:left="0" w:right="0" w:firstLine="576"/>
        <w:jc w:val="left"/>
      </w:pPr>
      <w:r>
        <w:rPr/>
        <w:t xml:space="preserve">(2) The guide maintained pursuant to this section must include information regarding:</w:t>
      </w:r>
    </w:p>
    <w:p>
      <w:pPr>
        <w:spacing w:before="0" w:after="0" w:line="408" w:lineRule="exact"/>
        <w:ind w:left="0" w:right="0" w:firstLine="576"/>
        <w:jc w:val="left"/>
      </w:pPr>
      <w:r>
        <w:rPr/>
        <w:t xml:space="preserve">(a) The variety of duties and responsibilities of landlords as set forth in this chapter, including: Maintenance responsibilities and duties to remedy defective conditions; notice requirements, including information specific to notices to terminate a tenancy and to increase rent; and prohibitions on discrimination on the basis of source of income and in retaliation;</w:t>
      </w:r>
    </w:p>
    <w:p>
      <w:pPr>
        <w:spacing w:before="0" w:after="0" w:line="408" w:lineRule="exact"/>
        <w:ind w:left="0" w:right="0" w:firstLine="576"/>
        <w:jc w:val="left"/>
      </w:pPr>
      <w:r>
        <w:rPr/>
        <w:t xml:space="preserve">(b) The variety of duties and responsibilities of tenants as set forth in this chapter, including: The time frames for responding to various notices; the duty to not unreasonably withhold consent to the landlord to make repairs or supply necessary or agreed services; and duties to maintain smoke detection devices and not to permit nuisance or common waste;</w:t>
      </w:r>
    </w:p>
    <w:p>
      <w:pPr>
        <w:spacing w:before="0" w:after="0" w:line="408" w:lineRule="exact"/>
        <w:ind w:left="0" w:right="0" w:firstLine="576"/>
        <w:jc w:val="left"/>
      </w:pPr>
      <w:r>
        <w:rPr/>
        <w:t xml:space="preserve">(c) The availability of any free and low-cost legal services; and</w:t>
      </w:r>
    </w:p>
    <w:p>
      <w:pPr>
        <w:spacing w:before="0" w:after="0" w:line="408" w:lineRule="exact"/>
        <w:ind w:left="0" w:right="0" w:firstLine="576"/>
        <w:jc w:val="left"/>
      </w:pPr>
      <w:r>
        <w:rPr/>
        <w:t xml:space="preserve">(d) Other topics deemed relevant by the department.</w:t>
      </w:r>
    </w:p>
    <w:p>
      <w:pPr>
        <w:spacing w:before="0" w:after="0" w:line="408" w:lineRule="exact"/>
        <w:ind w:left="0" w:right="0" w:firstLine="576"/>
        <w:jc w:val="left"/>
      </w:pPr>
      <w:r>
        <w:rPr/>
        <w:t xml:space="preserve">(3) The landlord shall provide a copy of the guide to each tenant at the commencement of the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notice served pursuant to RCW 59.12.030 shall be accompanied by a "Notice to Tenants" that shall be in substantially the following form:</w:t>
      </w:r>
    </w:p>
    <w:p>
      <w:pPr>
        <w:spacing w:before="0" w:after="0" w:line="408" w:lineRule="exact"/>
        <w:ind w:left="0" w:right="0" w:firstLine="0"/>
        <w:jc w:val="center"/>
      </w:pPr>
      <w:r>
        <w:rPr/>
        <w:t xml:space="preserve">NOTICE TO TENANTS</w:t>
      </w:r>
    </w:p>
    <w:p>
      <w:pPr>
        <w:spacing w:before="0" w:after="0" w:line="408" w:lineRule="exact"/>
        <w:ind w:left="0" w:right="0" w:firstLine="576"/>
        <w:jc w:val="left"/>
      </w:pPr>
      <w:r>
        <w:rPr/>
        <w:t xml:space="preserve">You are receiving the attached notice because the landlord alleges you have failed to comply with the terms of the lease agreement, which may include a failure to pay rent and other charges.</w:t>
      </w:r>
    </w:p>
    <w:p>
      <w:pPr>
        <w:spacing w:before="0" w:after="0" w:line="408" w:lineRule="exact"/>
        <w:ind w:left="0" w:right="0" w:firstLine="576"/>
        <w:jc w:val="left"/>
      </w:pPr>
      <w:r>
        <w:rPr/>
        <w:t xml:space="preserve">You may want to consult the guide maintained by the department of commerce on its web site pursuant to section 3 of this act, which contains information regarding:</w:t>
      </w:r>
    </w:p>
    <w:p>
      <w:pPr>
        <w:spacing w:before="0" w:after="0" w:line="408" w:lineRule="exact"/>
        <w:ind w:left="0" w:right="0" w:firstLine="576"/>
        <w:jc w:val="left"/>
      </w:pPr>
      <w:r>
        <w:rPr/>
        <w:t xml:space="preserve">(a) The variety of duties and responsibilities of landlords as set forth in chapter 59.18 RCW, including: Maintenance responsibilities and duties to remedy defective conditions; notice requirements, including information specific to notices to terminate a tenancy and to increase rent; and prohibitions on discrimination on the basis of source of income and retaliation;</w:t>
      </w:r>
    </w:p>
    <w:p>
      <w:pPr>
        <w:spacing w:before="0" w:after="0" w:line="408" w:lineRule="exact"/>
        <w:ind w:left="0" w:right="0" w:firstLine="576"/>
        <w:jc w:val="left"/>
      </w:pPr>
      <w:r>
        <w:rPr/>
        <w:t xml:space="preserve">(b) The variety of duties and responsibilities of tenants as set forth in chapter 59.18 RCW, including: The time frames for responding to various notices; the duty to not unreasonably withhold consent to the landlord to make repairs or supply necessary or agreed services; and duties to maintain smoke detection devices and not to permit nuisance or common waste;</w:t>
      </w:r>
    </w:p>
    <w:p>
      <w:pPr>
        <w:spacing w:before="0" w:after="0" w:line="408" w:lineRule="exact"/>
        <w:ind w:left="0" w:right="0" w:firstLine="576"/>
        <w:jc w:val="left"/>
      </w:pPr>
      <w:r>
        <w:rPr/>
        <w:t xml:space="preserve">(c) The availability of any free and low-cost legal services; and</w:t>
      </w:r>
    </w:p>
    <w:p>
      <w:pPr>
        <w:spacing w:before="0" w:after="0" w:line="408" w:lineRule="exact"/>
        <w:ind w:left="0" w:right="0" w:firstLine="576"/>
        <w:jc w:val="left"/>
      </w:pPr>
      <w:r>
        <w:rPr/>
        <w:t xml:space="preserve">(d) Other topics deemed relevant by the department of commerce.</w:t>
      </w:r>
    </w:p>
    <w:p>
      <w:pPr>
        <w:spacing w:before="0" w:after="0" w:line="408" w:lineRule="exact"/>
        <w:ind w:left="0" w:right="0" w:firstLine="576"/>
        <w:jc w:val="left"/>
      </w:pPr>
      <w:r>
        <w:rPr/>
        <w:t xml:space="preserve">(2) Failure to provide the notice required in subsection (1) of this section is not grounds for dismissal of an unlawful detainer action. A court may grant a continuance in an unlawful detainer action to give the landlord time to provide the notice.</w:t>
      </w:r>
    </w:p>
    <w:p/>
    <w:p>
      <w:pPr>
        <w:jc w:val="center"/>
      </w:pPr>
      <w:r>
        <w:rPr>
          <w:b/>
        </w:rPr>
        <w:t>--- END ---</w:t>
      </w:r>
    </w:p>
    <w:sectPr>
      <w:pgNumType w:start="1"/>
      <w:footerReference xmlns:r="http://schemas.openxmlformats.org/officeDocument/2006/relationships" r:id="R82f09590176c44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076c9aaa24d01" /><Relationship Type="http://schemas.openxmlformats.org/officeDocument/2006/relationships/footer" Target="/word/footer1.xml" Id="R82f09590176c4488" /></Relationships>
</file>