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59ea004444c6f" /></Relationships>
</file>

<file path=word/document.xml><?xml version="1.0" encoding="utf-8"?>
<w:document xmlns:w="http://schemas.openxmlformats.org/wordprocessingml/2006/main">
  <w:body>
    <w:p>
      <w:r>
        <w:t>H-0723.1</w:t>
      </w:r>
    </w:p>
    <w:p>
      <w:pPr>
        <w:jc w:val="center"/>
      </w:pPr>
      <w:r>
        <w:t>_______________________________________________</w:t>
      </w:r>
    </w:p>
    <w:p/>
    <w:p>
      <w:pPr>
        <w:jc w:val="center"/>
      </w:pPr>
      <w:r>
        <w:rPr>
          <w:b/>
        </w:rPr>
        <w:t>HOUSE BILL 1480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Barkis, and Jinkins</w:t>
      </w:r>
    </w:p>
    <w:p/>
    <w:p>
      <w:r>
        <w:rPr>
          <w:t xml:space="preserve">Read first time 01/23/19.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permitting process for disposing of dredged materials; and amending RCW 90.58.140.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2015 3rd sp.s. c 15 s 7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t xml:space="preserve">(d) Except as authorized in (b) and (c)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(e) Except as authorized in (b) and (c)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(d), or (e)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 A permit under this section is not required in order to dispose of dredged materials at a disposal site approved through the cooperative planning process referenced in RCW 79.105.500, provided the dredged material disposal proponent has obtained a valid site use authorization from the dredged material management program office within the department of natural resources.</w:t>
      </w:r>
    </w:p>
    <w:p/>
    <w:p>
      <w:pPr>
        <w:jc w:val="center"/>
      </w:pPr>
      <w:r>
        <w:rPr>
          <w:b/>
        </w:rPr>
        <w:t>--- END ---</w:t>
      </w:r>
    </w:p>
    <w:sectPr>
      <w:pgNumType w:start="1"/>
      <w:footerReference xmlns:r="http://schemas.openxmlformats.org/officeDocument/2006/relationships" r:id="R84a1d91e704d4c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fed11eda948b3" /><Relationship Type="http://schemas.openxmlformats.org/officeDocument/2006/relationships/footer" Target="/word/footer1.xml" Id="R84a1d91e704d4c9f" /></Relationships>
</file>