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8bc48a6a24a3f" /></Relationships>
</file>

<file path=word/document.xml><?xml version="1.0" encoding="utf-8"?>
<w:document xmlns:w="http://schemas.openxmlformats.org/wordprocessingml/2006/main">
  <w:body>
    <w:p>
      <w:r>
        <w:t>H-1720.1</w:t>
      </w:r>
    </w:p>
    <w:p>
      <w:pPr>
        <w:jc w:val="center"/>
      </w:pPr>
      <w:r>
        <w:t>_______________________________________________</w:t>
      </w:r>
    </w:p>
    <w:p/>
    <w:p>
      <w:pPr>
        <w:jc w:val="center"/>
      </w:pPr>
      <w:r>
        <w:rPr>
          <w:b/>
        </w:rPr>
        <w:t>SUBSTITUTE HOUSE BILL 1497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Robinson, Harris, Cody, Jinkins, DeBolt, Macri, Stonier, Corry, Riccelli, Thai, Kilduff, Stanford, and Kloba; by request of Department of Health)</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adding a new section to chapter 43.70 RCW; and repealing RCW 43.70.514, 43.70.516, 43.70.520, 43.70.522, and 43.70.580.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w:t>
      </w:r>
      <w:r>
        <w:t>((</w:t>
      </w:r>
      <w:r>
        <w:rPr>
          <w:strike/>
        </w:rPr>
        <w:t xml:space="preserve">. With any new state funding of the public health system as appropriated for the purposes of sections 60 through 65 of this act,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public health system is expected to become a more integral part of the state's emergency preparedness system.</w:t>
      </w:r>
    </w:p>
    <w:p>
      <w:pPr>
        <w:spacing w:before="0" w:after="0" w:line="408" w:lineRule="exact"/>
        <w:ind w:left="0" w:right="0" w:firstLine="576"/>
        <w:jc w:val="left"/>
      </w:pPr>
      <w:r>
        <w:rPr>
          <w:strike/>
        </w:rPr>
        <w:t xml:space="preserve">(2) Subject to the availability of amounts appropriated for the purposes of sections 60 through 65 of this act, distributions to local health jurisdictions shall deliver the following outcomes:</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and is accomplished through the governmental public health system. This system is comprised of the state department of health, state board of health, local health jurisdictions, sovereign tribal nations, and Indian health programs.</w:t>
      </w:r>
    </w:p>
    <w:p>
      <w:pPr>
        <w:spacing w:before="0" w:after="0" w:line="408" w:lineRule="exact"/>
        <w:ind w:left="0" w:right="0" w:firstLine="576"/>
        <w:jc w:val="left"/>
      </w:pPr>
      <w:r>
        <w:rPr>
          <w:u w:val="single"/>
        </w:rPr>
        <w:t xml:space="preserve">(2)(a) The legislature intends to define a limited statewide set of core public health services, called foundational public health services, which the governmental public health system is responsible for providing in a consistent and uniform way in every community in Washington. These services are comprised of foundational programs and cross-cutting capabilities.</w:t>
      </w:r>
    </w:p>
    <w:p>
      <w:pPr>
        <w:spacing w:before="0" w:after="0" w:line="408" w:lineRule="exact"/>
        <w:ind w:left="0" w:right="0" w:firstLine="576"/>
        <w:jc w:val="left"/>
      </w:pPr>
      <w:r>
        <w:rPr>
          <w:u w:val="single"/>
        </w:rPr>
        <w:t xml:space="preserve">(b) These governmental public health services should be delivered in ways that maximize the efficiency and effectiveness of the overall system, make best use of the public health workforce and evolving technology, and address health equity.</w:t>
      </w:r>
    </w:p>
    <w:p>
      <w:pPr>
        <w:spacing w:before="0" w:after="0" w:line="408" w:lineRule="exact"/>
        <w:ind w:left="0" w:right="0" w:firstLine="576"/>
        <w:jc w:val="left"/>
      </w:pPr>
      <w:r>
        <w:rPr>
          <w:u w:val="single"/>
        </w:rPr>
        <w:t xml:space="preserve">(c) Funding for the governmental public health system must be restructured to support foundational public health services. In restructuring, there must be efforts to both reinforce current governmental public health system capacity and implement service delivery models allowing for system stabilization and transformation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the department will then jointly certify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514</w:t>
      </w:r>
      <w:r>
        <w:rPr/>
        <w:t xml:space="preserve"> (Public health</w:t>
      </w:r>
      <w:r>
        <w:rPr>
          <w:rFonts w:ascii="Times New Roman" w:hAnsi="Times New Roman"/>
        </w:rPr>
        <w:t xml:space="preserve">—</w:t>
      </w:r>
      <w:r>
        <w:rPr/>
        <w:t xml:space="preserve">Definitions) and 2007 c 259 s 61;</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516</w:t>
      </w:r>
      <w:r>
        <w:rPr/>
        <w:t xml:space="preserve"> (Public health</w:t>
      </w:r>
      <w:r>
        <w:rPr>
          <w:rFonts w:ascii="Times New Roman" w:hAnsi="Times New Roman"/>
        </w:rPr>
        <w:t xml:space="preserve">—</w:t>
      </w:r>
      <w:r>
        <w:rPr/>
        <w:t xml:space="preserve">Department's duties) and 2007 c 259 s 62;</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522</w:t>
      </w:r>
      <w:r>
        <w:rPr/>
        <w:t xml:space="preserve"> (Public health performance measures</w:t>
      </w:r>
      <w:r>
        <w:rPr>
          <w:rFonts w:ascii="Times New Roman" w:hAnsi="Times New Roman"/>
        </w:rPr>
        <w:t xml:space="preserve">—</w:t>
      </w:r>
      <w:r>
        <w:rPr/>
        <w:t xml:space="preserve">Assessing the use of funds</w:t>
      </w:r>
      <w:r>
        <w:rPr>
          <w:rFonts w:ascii="Times New Roman" w:hAnsi="Times New Roman"/>
        </w:rPr>
        <w:t xml:space="preserve">—</w:t>
      </w:r>
      <w:r>
        <w:rPr/>
        <w:t xml:space="preserve">Secretary's duties) and 2007 c 259 s 65;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580</w:t>
      </w:r>
      <w:r>
        <w:rPr/>
        <w:t xml:space="preserve"> (Public health improvement plan</w:t>
      </w:r>
      <w:r>
        <w:rPr>
          <w:rFonts w:ascii="Times New Roman" w:hAnsi="Times New Roman"/>
        </w:rPr>
        <w:t xml:space="preserve">—</w:t>
      </w:r>
      <w:r>
        <w:rPr/>
        <w:t xml:space="preserve">Funds</w:t>
      </w:r>
      <w:r>
        <w:rPr>
          <w:rFonts w:ascii="Times New Roman" w:hAnsi="Times New Roman"/>
        </w:rPr>
        <w:t xml:space="preserve">—</w:t>
      </w:r>
      <w:r>
        <w:rPr/>
        <w:t xml:space="preserve">Performance-based contracts</w:t>
      </w:r>
      <w:r>
        <w:rPr>
          <w:rFonts w:ascii="Times New Roman" w:hAnsi="Times New Roman"/>
        </w:rPr>
        <w:t xml:space="preserve">—</w:t>
      </w:r>
      <w:r>
        <w:rPr/>
        <w:t xml:space="preserve">Rules</w:t>
      </w:r>
      <w:r>
        <w:rPr>
          <w:rFonts w:ascii="Times New Roman" w:hAnsi="Times New Roman"/>
        </w:rPr>
        <w:t xml:space="preserve">—</w:t>
      </w:r>
      <w:r>
        <w:rPr/>
        <w:t xml:space="preserve">Evaluation and report) and 1995 c 43 s 3.</w:t>
      </w:r>
    </w:p>
    <w:p/>
    <w:p>
      <w:pPr>
        <w:jc w:val="center"/>
      </w:pPr>
      <w:r>
        <w:rPr>
          <w:b/>
        </w:rPr>
        <w:t>--- END ---</w:t>
      </w:r>
    </w:p>
    <w:sectPr>
      <w:pgNumType w:start="1"/>
      <w:footerReference xmlns:r="http://schemas.openxmlformats.org/officeDocument/2006/relationships" r:id="Ree052762dc8f40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6892a0f7f4022" /><Relationship Type="http://schemas.openxmlformats.org/officeDocument/2006/relationships/footer" Target="/word/footer1.xml" Id="Ree052762dc8f40a6" /></Relationships>
</file>