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c260d00a041b2" /></Relationships>
</file>

<file path=word/document.xml><?xml version="1.0" encoding="utf-8"?>
<w:document xmlns:w="http://schemas.openxmlformats.org/wordprocessingml/2006/main">
  <w:body>
    <w:p>
      <w:r>
        <w:t>H-1880.1</w:t>
      </w:r>
    </w:p>
    <w:p>
      <w:pPr>
        <w:jc w:val="center"/>
      </w:pPr>
      <w:r>
        <w:t>_______________________________________________</w:t>
      </w:r>
    </w:p>
    <w:p/>
    <w:p>
      <w:pPr>
        <w:jc w:val="center"/>
      </w:pPr>
      <w:r>
        <w:rPr>
          <w:b/>
        </w:rPr>
        <w:t>SUBSTITUTE HOUSE BILL 1513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Irwin, Goodman, Tharinger, Kilduff, Cody, Frame, Bergquist, Doglio, Reeves, and Leavitt;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new sections to chapter 10.77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subsection, a court may appoint an impartial forensic navigator employed by or contracted with the department to assist individuals who have been referred for competency evaluation or restoration.</w:t>
      </w:r>
    </w:p>
    <w:p>
      <w:pPr>
        <w:spacing w:before="0" w:after="0" w:line="408" w:lineRule="exact"/>
        <w:ind w:left="0" w:right="0" w:firstLine="576"/>
        <w:jc w:val="left"/>
      </w:pPr>
      <w:r>
        <w:rPr/>
        <w:t xml:space="preserve">(2) A forensic navigator must assist the individual to navigate the legal process and to access available behavioral health resources. During pending criminal proceedings,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Unless otherwise directed by the court, the duties of the forensic navigator during a pending criminal proceeding include, but are not limited to, the following:</w:t>
      </w:r>
    </w:p>
    <w:p>
      <w:pPr>
        <w:spacing w:before="0" w:after="0" w:line="408" w:lineRule="exact"/>
        <w:ind w:left="0" w:right="0" w:firstLine="576"/>
        <w:jc w:val="left"/>
      </w:pPr>
      <w:r>
        <w:rPr/>
        <w:t xml:space="preserve">(a) To collect relevant information about the individual, including any relevant background, prior behavioral health history, prior records of competency evaluation and restoration treatment, the circumstances of the individual leading up to the current matter before the court, and services available to the individual that would support placement in outpatient restoration, diversion, or some combination of these;</w:t>
      </w:r>
    </w:p>
    <w:p>
      <w:pPr>
        <w:spacing w:before="0" w:after="0" w:line="408" w:lineRule="exact"/>
        <w:ind w:left="0" w:right="0" w:firstLine="576"/>
        <w:jc w:val="left"/>
      </w:pPr>
      <w:r>
        <w:rPr/>
        <w:t xml:space="preserve">(b) To present information to the court in order to assist the court in understanding the options available to the individual and determining whether placement in outpatient restoration, diversion, or some combination of these is appropriate for the individual;</w:t>
      </w:r>
    </w:p>
    <w:p>
      <w:pPr>
        <w:spacing w:before="0" w:after="0" w:line="408" w:lineRule="exact"/>
        <w:ind w:left="0" w:right="0" w:firstLine="576"/>
        <w:jc w:val="left"/>
      </w:pPr>
      <w:r>
        <w:rPr/>
        <w:t xml:space="preserve">(c) To assess the individual's housing status in order to determine whether residential supports are needed in order to engage in outpatient restoration or diversion programs, and to coordinate access to housing for these individuals if ordered to outpatient restoration;</w:t>
      </w:r>
    </w:p>
    <w:p>
      <w:pPr>
        <w:spacing w:before="0" w:after="0" w:line="408" w:lineRule="exact"/>
        <w:ind w:left="0" w:right="0" w:firstLine="576"/>
        <w:jc w:val="left"/>
      </w:pPr>
      <w:r>
        <w:rPr/>
        <w:t xml:space="preserve">(d) To facilitate a coordinated transition to outpatient restoration, diversion, and other community resources, or some combination of these; and</w:t>
      </w:r>
    </w:p>
    <w:p>
      <w:pPr>
        <w:spacing w:before="0" w:after="0" w:line="408" w:lineRule="exact"/>
        <w:ind w:left="0" w:right="0" w:firstLine="576"/>
        <w:jc w:val="left"/>
      </w:pPr>
      <w:r>
        <w:rPr/>
        <w:t xml:space="preserve">(e) To monitor all court orders for compliance and to bring to the court's attention any change in circumstances that may require a modification of the court's order.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individual's connections to community resources, criminal history, and other relevant information necessary for the development of treatment and restoration options for an individual. Information that is protected by state or federal law, including health information, shall not be entered into the court record without the consent of the individual or the individual's defense attorney. Any information collected and shared with parties by the forensic navigator shall be used solely for the purposes of assessing an individual's appropriateness for outpatient restoration, diversion, or some combination of these.</w:t>
      </w:r>
    </w:p>
    <w:p>
      <w:pPr>
        <w:spacing w:before="0" w:after="0" w:line="408" w:lineRule="exact"/>
        <w:ind w:left="0" w:right="0" w:firstLine="576"/>
        <w:jc w:val="left"/>
      </w:pPr>
      <w:r>
        <w:rPr/>
        <w:t xml:space="preserve">(7) A forensic navigator shall not report or be examined as to any communication made by the individual to the forensic navigator, without the consent of the individual or the individual's attorney.</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0" w:after="0" w:line="408" w:lineRule="exact"/>
        <w:ind w:left="0" w:right="0" w:firstLine="576"/>
        <w:jc w:val="left"/>
      </w:pPr>
      <w:r>
        <w:rPr>
          <w:u w:val="single"/>
        </w:rPr>
        <w:t xml:space="preserve">(7) The Washington association of sheriffs and police chiefs shall collect and maintain a file of written local law enforcement diversion guidelines for behavioral health developed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a period of ninety days for inpatient competency restoration, which includes only the time the defendant is actually at the facility and is in addition to reasonable time for transport to or from the facility</w:t>
      </w:r>
      <w:r>
        <w:rPr/>
        <w:t xml:space="preserv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spacing w:before="0" w:after="0" w:line="408" w:lineRule="exact"/>
        <w:ind w:left="0" w:right="0" w:firstLine="576"/>
        <w:jc w:val="left"/>
      </w:pPr>
      <w:r>
        <w:rPr>
          <w:strike/>
        </w:rPr>
        <w:t xml:space="preserve">(ii) The ninety day period for evaluation and treatment under this subsection (1) includes only the time the defendant is actually at the facility and is in addition to reasonable time for transport to or from the facility.</w:t>
      </w:r>
      <w:r>
        <w:t>))</w:t>
      </w:r>
    </w:p>
    <w:p>
      <w:pPr>
        <w:spacing w:before="0" w:after="0" w:line="408" w:lineRule="exact"/>
        <w:ind w:left="0" w:right="0" w:firstLine="576"/>
        <w:jc w:val="left"/>
      </w:pPr>
      <w:r>
        <w:rPr>
          <w:u w:val="single"/>
        </w:rPr>
        <w:t xml:space="preserve">(A) To be eligible for an order for outpatient competency restoration, a defendant must be:</w:t>
      </w:r>
    </w:p>
    <w:p>
      <w:pPr>
        <w:spacing w:before="0" w:after="0" w:line="408" w:lineRule="exact"/>
        <w:ind w:left="0" w:right="0" w:firstLine="576"/>
        <w:jc w:val="left"/>
      </w:pPr>
      <w:r>
        <w:rPr>
          <w:u w:val="single"/>
        </w:rPr>
        <w:t xml:space="preserve">(I) Adherent to medications or willing to receive prescribed intravenous medication;</w:t>
      </w:r>
    </w:p>
    <w:p>
      <w:pPr>
        <w:spacing w:before="0" w:after="0" w:line="408" w:lineRule="exact"/>
        <w:ind w:left="0" w:right="0" w:firstLine="576"/>
        <w:jc w:val="left"/>
      </w:pPr>
      <w:r>
        <w:rPr>
          <w:u w:val="single"/>
        </w:rPr>
        <w:t xml:space="preserve">(II) Abstinent from alcohol or unprescribed drugs; and</w:t>
      </w:r>
    </w:p>
    <w:p>
      <w:pPr>
        <w:spacing w:before="0" w:after="0" w:line="408" w:lineRule="exact"/>
        <w:ind w:left="0" w:right="0" w:firstLine="576"/>
        <w:jc w:val="left"/>
      </w:pPr>
      <w:r>
        <w:rPr>
          <w:u w:val="single"/>
        </w:rPr>
        <w:t xml:space="preserve">(III) Clinically stable.</w:t>
      </w:r>
    </w:p>
    <w:p>
      <w:pPr>
        <w:spacing w:before="0" w:after="0" w:line="408" w:lineRule="exact"/>
        <w:ind w:left="0" w:right="0" w:firstLine="576"/>
        <w:jc w:val="left"/>
      </w:pPr>
      <w:r>
        <w:rPr>
          <w:u w:val="single"/>
        </w:rPr>
        <w:t xml:space="preserve">(B)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 The period for outpatient competency restoration must be for up to sixty days, notwithstanding (b) of this subsection.</w:t>
      </w:r>
    </w:p>
    <w:p>
      <w:pPr>
        <w:spacing w:before="0" w:after="0" w:line="408" w:lineRule="exact"/>
        <w:ind w:left="0" w:right="0" w:firstLine="576"/>
        <w:jc w:val="left"/>
      </w:pPr>
      <w:r>
        <w:rPr>
          <w:u w:val="single"/>
        </w:rPr>
        <w:t xml:space="preserve">(C) If the defendant fails to comply with the terms and conditions of his or her conditional release or is in need of additional care and treatment such that outpatient restoration treatment is no longer appropriate, the department shall remove the defendant from the outpatient restoration program and place the defendant in an appropriate facility of the department for inpatient competency restoration. The department shall notify the court and parties of the change in placement before the close of the next judicial day. The court shall schedule a hearing within five days to determine whether the court should reinstate or modify the defendant's conditional release or order the defendant into inpatient competency restoration. The standard of proof at the hearing shall be a preponderance of the evidence. To order a defendant to inpatient competency restoration, the court shall consider:</w:t>
      </w:r>
    </w:p>
    <w:p>
      <w:pPr>
        <w:spacing w:before="0" w:after="0" w:line="408" w:lineRule="exact"/>
        <w:ind w:left="0" w:right="0" w:firstLine="576"/>
        <w:jc w:val="left"/>
      </w:pPr>
      <w:r>
        <w:rPr>
          <w:u w:val="single"/>
        </w:rPr>
        <w:t xml:space="preserve">(I) Information and opinions from an evaluator designated by the department as to whether the defendant is likely to regain competency in an outpatient competency restoration setting; and</w:t>
      </w:r>
    </w:p>
    <w:p>
      <w:pPr>
        <w:spacing w:before="0" w:after="0" w:line="408" w:lineRule="exact"/>
        <w:ind w:left="0" w:right="0" w:firstLine="576"/>
        <w:jc w:val="left"/>
      </w:pPr>
      <w:r>
        <w:rPr>
          <w:u w:val="single"/>
        </w:rPr>
        <w:t xml:space="preserve">(II) Information provided by the outpatient restoration treatment provider and forensic navigator as to whether the defendant is able to meaningfully complete or participate in an outpatient competency restoration program.</w:t>
      </w:r>
    </w:p>
    <w:p>
      <w:pPr>
        <w:spacing w:before="0" w:after="0" w:line="408" w:lineRule="exact"/>
        <w:ind w:left="0" w:right="0" w:firstLine="576"/>
        <w:jc w:val="left"/>
      </w:pPr>
      <w:r>
        <w:rPr>
          <w:u w:val="single"/>
        </w:rPr>
        <w:t xml:space="preserve">(D) If after a hearing, the court finds that outpatient competency restoration treatment is no longer an appropriate placement for the defendant, the court shall commit the defendant to the custody of the secretary who shall place such defendant in an appropriate facility of the department for inpatient competency restoration treatment for no longer than the time period authorized in the original court order, in addition to reasonable time for transport to or from the facility.</w:t>
      </w:r>
    </w:p>
    <w:p>
      <w:pPr>
        <w:spacing w:before="0" w:after="0" w:line="408" w:lineRule="exact"/>
        <w:ind w:left="0" w:right="0" w:firstLine="576"/>
        <w:jc w:val="left"/>
      </w:pPr>
      <w:r>
        <w:rPr>
          <w:u w:val="single"/>
        </w:rPr>
        <w:t xml:space="preserve"> (E) If after a hearing, the court finds that outpatient competency restoration treatment continues to be an appropriate placement for the defendant, the defendant shall be released to continue his or her outpatient competency restoration treatment for no longer than the time period authorized in the original court order, in addition to reasonable time for transport to or from the facility.</w:t>
      </w:r>
    </w:p>
    <w:p>
      <w:pPr>
        <w:spacing w:before="0" w:after="0" w:line="408" w:lineRule="exact"/>
        <w:ind w:left="0" w:right="0" w:firstLine="576"/>
        <w:jc w:val="left"/>
      </w:pPr>
      <w:r>
        <w:rPr>
          <w:u w:val="single"/>
        </w:rPr>
        <w:t xml:space="preserve">(F) Nothing in this section shall prevent an outpatient competency restoration treatment provider from referring a defendant to a mental health professional for evaluation and treatment for initial detention proceedings under chapter 71.05 RCW. The provider shall immediately notify the parties if the defendant is detained under chapter 71.05 RCW.</w:t>
      </w:r>
    </w:p>
    <w:p>
      <w:pPr>
        <w:spacing w:before="0" w:after="0" w:line="408" w:lineRule="exact"/>
        <w:ind w:left="0" w:right="0" w:firstLine="576"/>
        <w:jc w:val="left"/>
      </w:pPr>
      <w:r>
        <w:rPr>
          <w:u w:val="single"/>
        </w:rPr>
        <w:t xml:space="preserve">(G) The court may not issue an order for outpatient competency restoration unless the department certifies that there is an available appropriate outpatient competency restoration program that has adequate space for the person at the time the order is issued, or the court has identified an appropriate professional person who will provide guidance and control for outpatient restoration.</w:t>
      </w:r>
    </w:p>
    <w:p>
      <w:pPr>
        <w:spacing w:before="0" w:after="0" w:line="408" w:lineRule="exact"/>
        <w:ind w:left="0" w:right="0" w:firstLine="576"/>
        <w:jc w:val="left"/>
      </w:pPr>
      <w:r>
        <w:rPr/>
        <w:t xml:space="preserve">(b) </w:t>
      </w:r>
      <w:r>
        <w:rPr>
          <w:u w:val="single"/>
        </w:rPr>
        <w:t xml:space="preserve">Except as provided in (a)(ii)(B) of this subsection, f</w:t>
      </w:r>
      <w:r>
        <w:rPr/>
        <w:t xml:space="preserve">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proceedings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The court must give notice to all parties at least twenty-four hours before the dismissal of any proceeding under this subsection, and provide an opportunity for a hearing within five days on whether to dismiss the proceedings. The prosecuting attorney must serve upon the defendant's attorney any evidence within twenty-four hours of requesting a hearing.</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and any history that suggests whether or not competency restoration treatment is likely to be successful. If the prosecuting attorney proves by a preponderance of the evidence that there is a compelling state interest in ordering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(1)(a)(ii) of this section that there is a compelling state interest in pursuing competency restoration treatment,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inpatient competency restoration</w:t>
      </w:r>
      <w:r>
        <w:rPr/>
        <w:t xml:space="preserve">;</w:t>
      </w:r>
    </w:p>
    <w:p>
      <w:pPr>
        <w:spacing w:before="0" w:after="0" w:line="408" w:lineRule="exact"/>
        <w:ind w:left="0" w:right="0" w:firstLine="576"/>
        <w:jc w:val="left"/>
      </w:pPr>
      <w:r>
        <w:rPr/>
        <w:t xml:space="preserve">(ii)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p>
    <w:p>
      <w:pPr>
        <w:spacing w:before="0" w:after="0" w:line="408" w:lineRule="exact"/>
        <w:ind w:left="0" w:right="0" w:firstLine="576"/>
        <w:jc w:val="left"/>
      </w:pPr>
      <w:r>
        <w:rPr>
          <w:u w:val="single"/>
        </w:rPr>
        <w:t xml:space="preserve">(A) To be eligible for an order for outpatient competency restoration, a defendant must be:</w:t>
      </w:r>
    </w:p>
    <w:p>
      <w:pPr>
        <w:spacing w:before="0" w:after="0" w:line="408" w:lineRule="exact"/>
        <w:ind w:left="0" w:right="0" w:firstLine="576"/>
        <w:jc w:val="left"/>
      </w:pPr>
      <w:r>
        <w:rPr>
          <w:u w:val="single"/>
        </w:rPr>
        <w:t xml:space="preserve">(I) Adherent to medications or willing to receive prescribed intravenous medication;</w:t>
      </w:r>
    </w:p>
    <w:p>
      <w:pPr>
        <w:spacing w:before="0" w:after="0" w:line="408" w:lineRule="exact"/>
        <w:ind w:left="0" w:right="0" w:firstLine="576"/>
        <w:jc w:val="left"/>
      </w:pPr>
      <w:r>
        <w:rPr>
          <w:u w:val="single"/>
        </w:rPr>
        <w:t xml:space="preserve">(II) Abstinent from alcohol or unprescribed drugs; and</w:t>
      </w:r>
    </w:p>
    <w:p>
      <w:pPr>
        <w:spacing w:before="0" w:after="0" w:line="408" w:lineRule="exact"/>
        <w:ind w:left="0" w:right="0" w:firstLine="576"/>
        <w:jc w:val="left"/>
      </w:pPr>
      <w:r>
        <w:rPr>
          <w:u w:val="single"/>
        </w:rPr>
        <w:t xml:space="preserve">(III) Clinically stable.</w:t>
      </w:r>
    </w:p>
    <w:p>
      <w:pPr>
        <w:spacing w:before="0" w:after="0" w:line="408" w:lineRule="exact"/>
        <w:ind w:left="0" w:right="0" w:firstLine="576"/>
        <w:jc w:val="left"/>
      </w:pPr>
      <w:r>
        <w:rPr>
          <w:u w:val="single"/>
        </w:rPr>
        <w:t xml:space="preserve">(B)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 The period for outpatient competency restoration must be for up to sixty days, notwithstanding (b) of this subsection.</w:t>
      </w:r>
    </w:p>
    <w:p>
      <w:pPr>
        <w:spacing w:before="0" w:after="0" w:line="408" w:lineRule="exact"/>
        <w:ind w:left="0" w:right="0" w:firstLine="576"/>
        <w:jc w:val="left"/>
      </w:pPr>
      <w:r>
        <w:rPr>
          <w:u w:val="single"/>
        </w:rPr>
        <w:t xml:space="preserve">(C) If the defendant fails to comply with the terms and conditions of his or her conditional release or is in need of additional care and treatment such that outpatient restoration treatment is no longer appropriate, the department shall remove the defendant from the outpatient restoration program and place the defendant in an appropriate facility of the department for inpatient competency restoration. The department shall notify the court and parties of the change in placement before the close of the next judicial day. The court shall schedule a hearing within five days to determine whether the court should reinstate or modify the defendant's conditional release or order the defendant into inpatient competency restoration. The standard of proof at the hearing shall be a preponderance of the evidence. To order a defendant to inpatient competency restoration, the court shall consider:</w:t>
      </w:r>
    </w:p>
    <w:p>
      <w:pPr>
        <w:spacing w:before="0" w:after="0" w:line="408" w:lineRule="exact"/>
        <w:ind w:left="0" w:right="0" w:firstLine="576"/>
        <w:jc w:val="left"/>
      </w:pPr>
      <w:r>
        <w:rPr>
          <w:u w:val="single"/>
        </w:rPr>
        <w:t xml:space="preserve">(I) Information and opinions from an evaluator designated by the department as to whether the defendant is likely to regain competency in an outpatient competency restoration setting; and</w:t>
      </w:r>
    </w:p>
    <w:p>
      <w:pPr>
        <w:spacing w:before="0" w:after="0" w:line="408" w:lineRule="exact"/>
        <w:ind w:left="0" w:right="0" w:firstLine="576"/>
        <w:jc w:val="left"/>
      </w:pPr>
      <w:r>
        <w:rPr>
          <w:u w:val="single"/>
        </w:rPr>
        <w:t xml:space="preserve">(II) Information provided by the outpatient restoration treatment provider and forensic navigator as to whether the defendant is able to meaningfully complete or participate in an outpatient competency restoration program.</w:t>
      </w:r>
    </w:p>
    <w:p>
      <w:pPr>
        <w:spacing w:before="0" w:after="0" w:line="408" w:lineRule="exact"/>
        <w:ind w:left="0" w:right="0" w:firstLine="576"/>
        <w:jc w:val="left"/>
      </w:pPr>
      <w:r>
        <w:rPr>
          <w:u w:val="single"/>
        </w:rPr>
        <w:t xml:space="preserve">(D) If after a hearing, the court finds that outpatient competency restoration treatment is no longer an appropriate placement for the defendant, the court shall commit the defendant to the custody of the secretary who shall place such defendant in an appropriate facility of the department for inpatient competency restoration treatment. The inpatient competency restoration period following a change in placement under this subsection must be the same length as if the defendant had been initially placed into inpatient competency restoration and any time periods spent in outpatient competency restoration must be disregarded.</w:t>
      </w:r>
    </w:p>
    <w:p>
      <w:pPr>
        <w:spacing w:before="0" w:after="0" w:line="408" w:lineRule="exact"/>
        <w:ind w:left="0" w:right="0" w:firstLine="576"/>
        <w:jc w:val="left"/>
      </w:pPr>
      <w:r>
        <w:rPr>
          <w:u w:val="single"/>
        </w:rPr>
        <w:t xml:space="preserve">(E) If after a hearing, the court finds that outpatient competency restoration treatment continues to be an appropriate placement for the defendant, the defendant shall be released to continue his or her outpatient competency restoration treatment for no longer than the time period authorized in the original court order, in addition to reasonable time for transport to or from the facility.</w:t>
      </w:r>
    </w:p>
    <w:p>
      <w:pPr>
        <w:spacing w:before="0" w:after="0" w:line="408" w:lineRule="exact"/>
        <w:ind w:left="0" w:right="0" w:firstLine="576"/>
        <w:jc w:val="left"/>
      </w:pPr>
      <w:r>
        <w:rPr>
          <w:u w:val="single"/>
        </w:rPr>
        <w:t xml:space="preserve">(F) Nothing in this section shall prevent an outpatient competency restoration treatment provider from referring a defendant to a mental health professional for evaluation and treatment for initial detention proceedings under chapter 71.05 RCW. The provider shall immediately notify the parties if the defendant is detained under chapter 71.05 RCW.</w:t>
      </w:r>
    </w:p>
    <w:p>
      <w:pPr>
        <w:spacing w:before="0" w:after="0" w:line="408" w:lineRule="exact"/>
        <w:ind w:left="0" w:right="0" w:firstLine="576"/>
        <w:jc w:val="left"/>
      </w:pPr>
      <w:r>
        <w:rPr>
          <w:u w:val="single"/>
        </w:rPr>
        <w:t xml:space="preserve">(G) The court may not issue an order for outpatient competency restoration unless the department certifies that there is an available appropriate outpatient competency restoration program that has adequate space for the person at the time the order is issued, or the court has identified an appropriate professional person who will provide guidance and control for outpatient restoration.</w:t>
      </w:r>
    </w:p>
    <w:p>
      <w:pPr>
        <w:spacing w:before="0" w:after="0" w:line="408" w:lineRule="exact"/>
        <w:ind w:left="0" w:right="0" w:firstLine="576"/>
        <w:jc w:val="left"/>
      </w:pPr>
      <w:r>
        <w:rPr>
          <w:u w:val="single"/>
        </w:rPr>
        <w:t xml:space="preserve">(b) Except as provided in (a)(ii)(B) of this subsection, t</w:t>
      </w:r>
      <w:r>
        <w:rPr/>
        <w:t xml:space="preserve">he placement under (a)(i) </w:t>
      </w:r>
      <w:r>
        <w:t>((</w:t>
      </w:r>
      <w:r>
        <w:rPr>
          <w:strike/>
        </w:rPr>
        <w:t xml:space="preserve">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u w:val="single"/>
        </w:rPr>
        <w:t xml:space="preserve">.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must collaborate with the health care authority to ensure that intensive services consistent with section 2(1)(a) of this act are available for individuals involved with the criminal justice system in every county or region in which a forensic navigator is contracted or employed to provide services, on a timeline consistent with the phased implementation of the settlement agreement in </w:t>
      </w:r>
      <w:r>
        <w:rPr>
          <w:i/>
        </w:rPr>
        <w:t xml:space="preserve">A.B., by and through Trueblood, et al., v. DSHS, et al.</w:t>
      </w:r>
      <w:r>
        <w:rPr/>
        <w:t xml:space="preserve">, No. 15-35462 ("Trueblood").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must implement an outpatient competency restoration program consistent with RCW 10.77.086 and 10.77.088 in the county that has the highest total volume of referrals for competency evaluation and restoration services no later than January 1, 2020.</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05e9ccf9e6214c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45cba9b4d42ca" /><Relationship Type="http://schemas.openxmlformats.org/officeDocument/2006/relationships/footer" Target="/word/footer1.xml" Id="R05e9ccf9e6214c7f" /></Relationships>
</file>