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0bfc2f70d4692" /></Relationships>
</file>

<file path=word/document.xml><?xml version="1.0" encoding="utf-8"?>
<w:document xmlns:w="http://schemas.openxmlformats.org/wordprocessingml/2006/main">
  <w:body>
    <w:p>
      <w:r>
        <w:t>Z-0471.1</w:t>
      </w:r>
    </w:p>
    <w:p>
      <w:pPr>
        <w:jc w:val="center"/>
      </w:pPr>
      <w:r>
        <w:t>_______________________________________________</w:t>
      </w:r>
    </w:p>
    <w:p/>
    <w:p>
      <w:pPr>
        <w:jc w:val="center"/>
      </w:pPr>
      <w:r>
        <w:rPr>
          <w:b/>
        </w:rPr>
        <w:t>HOUSE BILL 1517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Mosbrucker, Orwall, Griffey, Lovick, Davis, Appleton, Pettigrew, Pellicciotti, Kilduff, and Valdez; by request of Uniform Law Commission</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9.95.210, 10.99.050, 9.94A.500, 9.94A.660, 9.94A.662, 9.94A.664, 9.94A.704, 9.94A.722, 10.05.010, 10.05.015, 10.05.020, 10.05.030, 10.05.040, 10.05.120, 10.05.140, 10.05.160, 26.50.035, 26.50.110, 26.50.160, and 36.28A.410; amending 2017 c 272 ss 7 and 8 (uncodified); reenacting and amending RCW 10.31.100; adding new sections to chapter 26.50 RCW; adding new sections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 Further, the legislature intends to establish a long-term plan to study the significant changes and new multitiered treatment model of domestic violence perpetrator treatment in order to inform future practices and legislative changes.</w:t>
      </w:r>
    </w:p>
    <w:p>
      <w:pPr>
        <w:spacing w:before="240" w:after="0" w:line="408" w:lineRule="exact"/>
        <w:ind w:left="0" w:right="0" w:firstLine="576"/>
        <w:jc w:val="center"/>
      </w:pPr>
      <w:r>
        <w:rPr>
          <w:b/>
        </w:rPr>
        <w:t xml:space="preserve">PART 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III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and periodically update an actuarial domestic violence risk assessment tool to be used by the department of corrections and domestic violence treatment providers for the purpose of determining whether an offender's domestic violence crime and domestic violence history is such that there is a probability the offender will commit domestic violence in the future. In addition, the domestic violence risk assessment tool must have a component to determine how mental illness and chemical dependency affect whether an offender will commit domestic violence in the future.</w:t>
      </w:r>
    </w:p>
    <w:p>
      <w:pPr>
        <w:spacing w:before="0" w:after="0" w:line="408" w:lineRule="exact"/>
        <w:ind w:left="0" w:right="0" w:firstLine="576"/>
        <w:jc w:val="left"/>
      </w:pPr>
      <w:r>
        <w:rPr/>
        <w:t xml:space="preserve">(2) The domestic violence risk assessment tool must be based on best available evidence. In developing the tool, the Washington State University department of criminal justice shall consult with the Washington state institute for public policy, the Washington state supreme court gender and justice commission, the department of children, youth, and families, the department of corrections, domestic violence treatment providers, and other appropriate stakeholders.</w:t>
      </w:r>
    </w:p>
    <w:p>
      <w:pPr>
        <w:spacing w:before="0" w:after="0" w:line="408" w:lineRule="exact"/>
        <w:ind w:left="0" w:right="0" w:firstLine="576"/>
        <w:jc w:val="left"/>
      </w:pPr>
      <w:r>
        <w:rPr/>
        <w:t xml:space="preserve">(3) The Washington State University department of criminal justice shall make the domestic violence risk assessment tool available for use no later than July 1, 2020.</w:t>
      </w:r>
    </w:p>
    <w:p>
      <w:pPr>
        <w:spacing w:before="0" w:after="0" w:line="408" w:lineRule="exact"/>
        <w:ind w:left="0" w:right="0" w:firstLine="576"/>
        <w:jc w:val="left"/>
      </w:pPr>
      <w:r>
        <w:rPr/>
        <w:t xml:space="preserve">(4) This section expires July 1, 2021.</w:t>
      </w:r>
    </w:p>
    <w:p>
      <w:pPr>
        <w:spacing w:before="240" w:after="0" w:line="408" w:lineRule="exact"/>
        <w:ind w:left="0" w:right="0" w:firstLine="576"/>
        <w:jc w:val="center"/>
      </w:pPr>
      <w:r>
        <w:rPr>
          <w:b/>
        </w:rPr>
        <w:t xml:space="preserve">PART IV - SENTENCING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When sentencing an offender convicted of a domestic violence offense, the court, in addition to imposing the provisions of this chapter, shall order the offender to undergo alcohol or chemical dependency treatment or domestic violence treatment services during incarceration. The offender is responsible for the cost of treatment unless the court finds the offender indigent and no third-party insurance coverage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in cases of domestic violence the court shall order the department to complete a presentence investigation and domestic violence risk assessment before imposing a drug offender sentencing alternative or residential drug offender sentencing alternative upon a defendant who has been convicted of a domestic violence offense under chapter 26.50 RCW or any felony where the court finds that domestic violence contributed to his or her offense.</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w:t>
      </w:r>
      <w:r>
        <w:rPr>
          <w:u w:val="single"/>
        </w:rPr>
        <w:t xml:space="preserve">, domestic violence risk assessment reports,</w:t>
      </w:r>
      <w:r>
        <w:rPr/>
        <w:t xml:space="preserve">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 </w:t>
      </w:r>
      <w:r>
        <w:rPr>
          <w:u w:val="single"/>
        </w:rPr>
        <w:t xml:space="preserve">To assist the court in making its determination in domestic violence cases, the court shall order the department to complete a domestic violence risk assessment validated by the Washington State University department of criminal justice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t>
      </w:r>
      <w:r>
        <w:rPr>
          <w:u w:val="single"/>
        </w:rPr>
        <w:t xml:space="preserve">Whether, in cases of domestic violence, the offender's domestic violence crime and domestic violence history is such that there is a probability the offender will commit domestic violence in the future;</w:t>
      </w:r>
    </w:p>
    <w:p>
      <w:pPr>
        <w:spacing w:before="0" w:after="0" w:line="408" w:lineRule="exact"/>
        <w:ind w:left="0" w:right="0" w:firstLine="576"/>
        <w:jc w:val="left"/>
      </w:pPr>
      <w:r>
        <w:rPr>
          <w:u w:val="single"/>
        </w:rPr>
        <w:t xml:space="preserve">(iv)</w:t>
      </w:r>
      <w:r>
        <w:rPr/>
        <w:t xml:space="preserve">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w:t>
      </w:r>
      <w:r>
        <w:t>((</w:t>
      </w:r>
      <w:r>
        <w:rPr>
          <w:strike/>
        </w:rPr>
        <w:t xml:space="preserve">and</w:t>
      </w:r>
      <w:r>
        <w:t>))</w:t>
      </w:r>
    </w:p>
    <w:p>
      <w:pPr>
        <w:spacing w:before="0" w:after="0" w:line="408" w:lineRule="exact"/>
        <w:ind w:left="0" w:right="0" w:firstLine="576"/>
        <w:jc w:val="left"/>
      </w:pPr>
      <w:r>
        <w:rPr/>
        <w:t xml:space="preserve">(ii) Recommended crime-related prohibitions and affirmative conditions</w:t>
      </w:r>
      <w:r>
        <w:rPr>
          <w:u w:val="single"/>
        </w:rPr>
        <w:t xml:space="preserve">; and</w:t>
      </w:r>
    </w:p>
    <w:p>
      <w:pPr>
        <w:spacing w:before="0" w:after="0" w:line="408" w:lineRule="exact"/>
        <w:ind w:left="0" w:right="0" w:firstLine="576"/>
        <w:jc w:val="left"/>
      </w:pPr>
      <w:r>
        <w:rPr>
          <w:u w:val="single"/>
        </w:rPr>
        <w:t xml:space="preserve">(iii) Use of a domestic violence risk assessment tool validated by the Washington State University department of criminal justice</w:t>
      </w:r>
      <w:r>
        <w:rPr/>
        <w:t xml:space="preser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 During incarceration in the state facility, offenders sentenced under this section shall undergo a comprehensive substance abuse assessment </w:t>
      </w:r>
      <w:r>
        <w:rPr>
          <w:u w:val="single"/>
        </w:rPr>
        <w:t xml:space="preserve">and, in cases of domestic violence, a domestic violence risk assessment,</w:t>
      </w:r>
      <w:r>
        <w:rPr/>
        <w:t xml:space="preserve"> and receive, within available resources, treatment services appropriate for the offender. The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240" w:after="0" w:line="408" w:lineRule="exact"/>
        <w:ind w:left="0" w:right="0" w:firstLine="576"/>
        <w:jc w:val="center"/>
      </w:pPr>
      <w:r>
        <w:rPr>
          <w:b/>
        </w:rPr>
        <w:t xml:space="preserve">PART V - COMMUNITY CUSTODY AND REENTRY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shall develop and monitor transition and relapse prevention strategies, including risk assessment and release plans, to reduce risk to the community after domestic violence offenders' terms of confinement in the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assessment and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w:t>
      </w:r>
    </w:p>
    <w:p>
      <w:pPr>
        <w:spacing w:before="0" w:after="0" w:line="408" w:lineRule="exact"/>
        <w:ind w:left="0" w:right="0" w:firstLine="576"/>
        <w:jc w:val="left"/>
      </w:pPr>
      <w:r>
        <w:rPr/>
        <w:t xml:space="preserve">(b) Upon receipt of the plan, the court shall schedule a progress hearing during the period of residential chemical dependency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w:t>
      </w:r>
      <w:r>
        <w:rPr>
          <w:u w:val="single"/>
        </w:rPr>
        <w:t xml:space="preserve">(i)</w:t>
      </w:r>
      <w:r>
        <w:rPr/>
        <w:t xml:space="preserve">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u w:val="single"/>
        </w:rPr>
        <w:t xml:space="preserve">(ii) For domestic violence crimes, the department shall assess the offender's risk of domestic violence reoffense pursuant to a risk assessment tool validated by the Washington State University department of criminal justice, and the department may establish and modify additional conditions of community custody based 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w:t>
      </w:r>
      <w:r>
        <w:rPr>
          <w:u w:val="single"/>
        </w:rPr>
        <w:t xml:space="preserve">and risk of domestic violence reoffense</w:t>
      </w:r>
      <w:r>
        <w:rPr/>
        <w:t xml:space="preserve">, and shall supervise offenders during community custody on the basis of risk to community safety</w:t>
      </w:r>
      <w:r>
        <w:rPr>
          <w:u w:val="single"/>
        </w:rPr>
        <w:t xml:space="preserve">, risk of domestic violence reoffense,</w:t>
      </w:r>
      <w:r>
        <w:rPr/>
        <w:t xml:space="preserve">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r>
        <w:rPr>
          <w:u w:val="single"/>
        </w:rPr>
        <w:t xml:space="preserve">. For petitions alleging domestic violence, the examination must include a domestic violence risk assessment validated by the Washington State University department of criminal justice</w:t>
      </w:r>
      <w:r>
        <w:rPr/>
        <w:t xml:space="preserv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domestic violence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 - EVALUATION OF DOMESTIC VIOLENCE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effectiveness of the multitiered domestic violence treatment model under chapter 110-60A WAC as to whether this model reduces or otherwise impacts the recidivism of domestic violence offenders. The evaluation must include a comparison of the effectiveness of the multitiered treatment model under chapter 110-60A WAC to the former single model. To the extent feasible, the evaluation must also include: (a) An assessment of the effectiveness of various treatment approaches utilized within the state under chapter 110-60A WAC based on available data obtained through the courts and treatment providers; and (b) a comprehensive review of the research evidence on the effectiveness of treatment models.</w:t>
      </w:r>
    </w:p>
    <w:p>
      <w:pPr>
        <w:spacing w:before="0" w:after="0" w:line="408" w:lineRule="exact"/>
        <w:ind w:left="0" w:right="0" w:firstLine="576"/>
        <w:jc w:val="left"/>
      </w:pPr>
      <w:r>
        <w:rPr/>
        <w:t xml:space="preserve">(2) The institute shall publish its initial findings and submit a report to the appropriate committees of the legislature and the governor no later than December 1, 2022, and the institute shall publish and submit a final report no later than December 1, 2024.</w:t>
      </w:r>
    </w:p>
    <w:p>
      <w:pPr>
        <w:spacing w:before="0" w:after="0" w:line="408" w:lineRule="exact"/>
        <w:ind w:left="0" w:right="0" w:firstLine="576"/>
        <w:jc w:val="left"/>
      </w:pPr>
      <w:r>
        <w:rPr/>
        <w:t xml:space="preserve">(3) This section expires June 30, 2025.</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November 30, 2019.</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criminal and civil definitions of domestic violence should be amended to separate "intimate partner violence" and "family violence," and whether the civil definition of domestic violence appropriately accounts for issues of coercive control;</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assessment tool under section 301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November 30, 2019.</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404, 501 through 504, and 601 through 609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
      <w:pPr>
        <w:jc w:val="center"/>
      </w:pPr>
      <w:r>
        <w:rPr>
          <w:b/>
        </w:rPr>
        <w:t>--- END ---</w:t>
      </w:r>
    </w:p>
    <w:sectPr>
      <w:pgNumType w:start="1"/>
      <w:footerReference xmlns:r="http://schemas.openxmlformats.org/officeDocument/2006/relationships" r:id="Rfd5cea04fba94e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53652fe7748eb" /><Relationship Type="http://schemas.openxmlformats.org/officeDocument/2006/relationships/footer" Target="/word/footer1.xml" Id="Rfd5cea04fba94e33" /></Relationships>
</file>