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99f6c1ebe4ed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MacEwen and Stanford)</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liquor licensing process for annual licenses to address issues typically occurring between the time an applicant submits an application through the first renewal; amending RCW 66.24.010;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liquor control</w:t>
      </w:r>
      <w:r>
        <w:t>))</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w:t>
      </w:r>
      <w:r>
        <w:t>((</w:t>
      </w:r>
      <w:r>
        <w:rPr>
          <w:strike/>
        </w:rPr>
        <w:t xml:space="preserve">At the time of</w:t>
      </w:r>
      <w:r>
        <w:t>))</w:t>
      </w:r>
      <w:r>
        <w:rPr/>
        <w:t xml:space="preserve"> </w:t>
      </w:r>
      <w:r>
        <w:rPr>
          <w:u w:val="single"/>
        </w:rPr>
        <w:t xml:space="preserve">For</w:t>
      </w:r>
      <w:r>
        <w:rPr/>
        <w:t xml:space="preserve"> the original issuance of a </w:t>
      </w:r>
      <w:r>
        <w:t>((</w:t>
      </w:r>
      <w:r>
        <w:rPr>
          <w:strike/>
        </w:rPr>
        <w:t xml:space="preserve">spirits, beer, and wine restaurant</w:t>
      </w:r>
      <w:r>
        <w:t>))</w:t>
      </w:r>
      <w:r>
        <w:rPr/>
        <w:t xml:space="preserve"> </w:t>
      </w:r>
      <w:r>
        <w:rPr>
          <w:u w:val="single"/>
        </w:rPr>
        <w:t xml:space="preserve">liquor</w:t>
      </w:r>
      <w:r>
        <w:rPr/>
        <w:t xml:space="preserve"> license, </w:t>
      </w:r>
      <w:r>
        <w:rPr>
          <w:u w:val="single"/>
        </w:rPr>
        <w:t xml:space="preserve">including the approval of a conditional license as provided in (b) of this subsection,</w:t>
      </w:r>
      <w:r>
        <w:rPr/>
        <w:t xml:space="preserve"> the board must </w:t>
      </w:r>
      <w:r>
        <w:t>((</w:t>
      </w:r>
      <w:r>
        <w:rPr>
          <w:strike/>
        </w:rPr>
        <w:t xml:space="preserve">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strike/>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r>
        <w:t>))</w:t>
      </w:r>
      <w:r>
        <w:rPr/>
        <w:t xml:space="preserve"> </w:t>
      </w:r>
      <w:r>
        <w:rPr>
          <w:u w:val="single"/>
        </w:rPr>
        <w:t xml:space="preserve">set the expiration date of the license to the last day of the calendar month that is twelve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u w:val="single"/>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u w:val="single"/>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u w:val="single"/>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w:t>
      </w:r>
      <w:r>
        <w:t>((</w:t>
      </w:r>
      <w:r>
        <w:rPr>
          <w:strike/>
        </w:rPr>
        <w:t xml:space="preserve">liquor control</w:t>
      </w:r>
      <w:r>
        <w:t>))</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w:t>
      </w:r>
      <w:r>
        <w:t>((</w:t>
      </w:r>
      <w:r>
        <w:rPr>
          <w:strike/>
        </w:rPr>
        <w:t xml:space="preserve">liquor control</w:t>
      </w:r>
      <w:r>
        <w:t>))</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0cc803fb64941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10cadfac245ef" /><Relationship Type="http://schemas.openxmlformats.org/officeDocument/2006/relationships/footer" Target="/word/footer1.xml" Id="R50cc803fb64941f9" /></Relationships>
</file>