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a6a2ab92f4d63" /></Relationships>
</file>

<file path=word/document.xml><?xml version="1.0" encoding="utf-8"?>
<w:document xmlns:w="http://schemas.openxmlformats.org/wordprocessingml/2006/main">
  <w:body>
    <w:p>
      <w:r>
        <w:t>Z-0455.1</w:t>
      </w:r>
    </w:p>
    <w:p>
      <w:pPr>
        <w:jc w:val="center"/>
      </w:pPr>
      <w:r>
        <w:t>_______________________________________________</w:t>
      </w:r>
    </w:p>
    <w:p/>
    <w:p>
      <w:pPr>
        <w:jc w:val="center"/>
      </w:pPr>
      <w:r>
        <w:rPr>
          <w:b/>
        </w:rPr>
        <w:t>HOUSE BILL 1579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Peterson, Lekanoff, Doglio, Macri, Stonier, Tharinger, Stanford, Jinkins, Robinson, Pollet, Valdez, Cody, Kloba, Slatter, Frame, and Davis; by request of Office of the Governor</w:t>
      </w:r>
    </w:p>
    <w:p/>
    <w:p>
      <w:r>
        <w:rPr>
          <w:t xml:space="preserve">Read first time 01/24/19.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southern resident killer whale task force related to increasing chinook abundance; amending RCW 77.08.020, 77.32.010, and 43.21B.110; adding new sections to chapter 77.55 RCW; creating a new section; repealing RCW 77.55.141 and 77.55.291;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020</w:t>
      </w:r>
      <w:r>
        <w:rPr/>
        <w:t xml:space="preserve"> and 1989 c 218 s 2 are each amended to read as follows:</w:t>
      </w:r>
    </w:p>
    <w:p>
      <w:pPr>
        <w:spacing w:before="0" w:after="0" w:line="408" w:lineRule="exact"/>
        <w:ind w:left="0" w:right="0" w:firstLine="576"/>
        <w:jc w:val="left"/>
      </w:pPr>
      <w:r>
        <w:rPr/>
        <w:t xml:space="preserve">(1) As used in this title or rules of the commission, "game fish" means those species of the class Osteichthyes that shall not be fished for except as authorized by rule of the commission and includes:</w:t>
      </w:r>
    </w:p>
    <w:tbl>
      <w:tblPr>
        <w:tblW w:w="0" w:type="auto"/>
        <w:jc w:val="center"/>
        <w:tcMar>
          <w:tblCellMar>
            <w:top w:w="0" w:type="dxa"/>
            <w:bottom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Common Name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Ambloplites rupestris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rock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Coregonus clupeaformis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lake white 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furcatus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blue catfish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melas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natalis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yellow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nebulosus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brown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t>((</w:t>
            </w:r>
            <w:r>
              <w:rPr>
                <w:rFonts w:ascii="Times New Roman" w:hAnsi="Times New Roman"/>
                <w:strike/>
                <w:sz w:val="20"/>
              </w:rPr>
              <w:t xml:space="preserve">Ictalurus punctatus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channel catfish</w:t>
            </w:r>
            <w:r>
              <w: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cyanellus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green sunfish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gibbosus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pumpkinseed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gulosus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warmouth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macrochirus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bluegill</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Lota lota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burbot or freshwater ling</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t>((</w:t>
            </w:r>
            <w:r>
              <w:rPr>
                <w:rFonts w:ascii="Times New Roman" w:hAnsi="Times New Roman"/>
                <w:strike/>
                <w:sz w:val="20"/>
              </w:rPr>
              <w:t xml:space="preserve">Micropterus dolomieui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smallmouth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trike/>
                <w:sz w:val="20"/>
              </w:rPr>
              <w:t xml:space="preserve">Micropterus salmoides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largemouth bass</w:t>
            </w:r>
            <w:r>
              <w: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nerka (in its landlocked form)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kokanee or silver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Perca flavescens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yellow perch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Pomixis annularis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white crappie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Pomixis nigromaculatus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crappie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Prosopium williamsoni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mountain white 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aquabonita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golden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clarkii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cutthroat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mykiss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rainbow or steelhead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Salmo salar (in its landlocked form)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Atlantic salmon</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Salmo trutta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brown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fontinalis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eastern brook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malma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Dolly Varden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namaycush</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lake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t>((</w:t>
            </w:r>
            <w:r>
              <w:rPr>
                <w:rFonts w:ascii="Times New Roman" w:hAnsi="Times New Roman"/>
                <w:strike/>
                <w:sz w:val="20"/>
              </w:rPr>
              <w:t xml:space="preserve">Stizostedion vitreum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Walleye</w:t>
            </w:r>
            <w:r>
              <w: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Thymallus articus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arctic grayling</w:t>
            </w:r>
          </w:p>
        </w:tc>
      </w:tr>
    </w:tbl>
    <w:p>
      <w:pPr>
        <w:spacing w:before="120" w:after="0" w:line="408" w:lineRule="exact"/>
        <w:ind w:left="0" w:right="0" w:firstLine="576"/>
        <w:jc w:val="left"/>
      </w:pPr>
      <w:r>
        <w:rPr/>
        <w:t xml:space="preserve">(2) Private sector cultured aquatic products as defined in RCW 15.85.020 are not game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violation of this chapter or of the rules implementing this chapter;</w:t>
      </w:r>
    </w:p>
    <w:p>
      <w:pPr>
        <w:spacing w:before="0" w:after="0" w:line="408" w:lineRule="exact"/>
        <w:ind w:left="0" w:right="0" w:firstLine="576"/>
        <w:jc w:val="left"/>
      </w:pPr>
      <w:r>
        <w:rPr/>
        <w:t xml:space="preserve">(b) There is a deviation from the hydraulic project approval; or</w:t>
      </w:r>
    </w:p>
    <w:p>
      <w:pPr>
        <w:spacing w:before="0" w:after="0" w:line="408" w:lineRule="exact"/>
        <w:ind w:left="0" w:right="0" w:firstLine="576"/>
        <w:jc w:val="left"/>
      </w:pPr>
      <w:r>
        <w:rPr/>
        <w:t xml:space="preserve">(c)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The specific nature, extent, and time of the violation, deviation, harm, or potential harm;</w:t>
      </w:r>
    </w:p>
    <w:p>
      <w:pPr>
        <w:spacing w:before="0" w:after="0" w:line="408" w:lineRule="exact"/>
        <w:ind w:left="0" w:right="0" w:firstLine="576"/>
        <w:jc w:val="left"/>
      </w:pPr>
      <w:r>
        <w:rPr/>
        <w:t xml:space="preserve">(ii) The specific course of action needed to correct or prevent a continuing violation, deviation, harm, or potential harm; and</w:t>
      </w:r>
    </w:p>
    <w:p>
      <w:pPr>
        <w:spacing w:before="0" w:after="0" w:line="408" w:lineRule="exact"/>
        <w:ind w:left="0" w:right="0" w:firstLine="576"/>
        <w:jc w:val="left"/>
      </w:pPr>
      <w:r>
        <w:rPr/>
        <w:t xml:space="preserve">(iii)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For the purposes of this section, "project proponent" has the same meaning as defined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The nature, extent, date, and time of the violation;</w:t>
      </w:r>
    </w:p>
    <w:p>
      <w:pPr>
        <w:spacing w:before="0" w:after="0" w:line="408" w:lineRule="exact"/>
        <w:ind w:left="0" w:right="0" w:firstLine="576"/>
        <w:jc w:val="left"/>
      </w:pPr>
      <w:r>
        <w:rPr/>
        <w:t xml:space="preserve">(ii) Any necessary corrective action; and</w:t>
      </w:r>
    </w:p>
    <w:p>
      <w:pPr>
        <w:spacing w:before="0" w:after="0" w:line="408" w:lineRule="exact"/>
        <w:ind w:left="0" w:right="0" w:firstLine="576"/>
        <w:jc w:val="left"/>
      </w:pPr>
      <w:r>
        <w:rPr/>
        <w:t xml:space="preserve">(iii)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For the purposes of this section, "project proponent" has the same meaning as defined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levy civil penalties of up to ten thousand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(1)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(2) Department personnel have probable cause to believe that a violation of this chapter or of the rules that implement this chapter is occurring or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5 or 6 of this act or who has failed to pay civil penalties issued pursuant to section 7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Any violation of this chapter or of the rules adopted to implement this chapter is declared to be a public nuisance.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7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
      <w:pPr>
        <w:jc w:val="center"/>
      </w:pPr>
      <w:r>
        <w:rPr>
          <w:b/>
        </w:rPr>
        <w:t>--- END ---</w:t>
      </w:r>
    </w:p>
    <w:sectPr>
      <w:pgNumType w:start="1"/>
      <w:footerReference xmlns:r="http://schemas.openxmlformats.org/officeDocument/2006/relationships" r:id="Rcbe7ff97905141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87b6b4f7345a9" /><Relationship Type="http://schemas.openxmlformats.org/officeDocument/2006/relationships/footer" Target="/word/footer1.xml" Id="Rcbe7ff9790514194" /></Relationships>
</file>