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2953f12faf45f4" /></Relationships>
</file>

<file path=word/document.xml><?xml version="1.0" encoding="utf-8"?>
<w:document xmlns:w="http://schemas.openxmlformats.org/wordprocessingml/2006/main">
  <w:body>
    <w:p>
      <w:r>
        <w:t>H-1546.1</w:t>
      </w:r>
    </w:p>
    <w:p>
      <w:pPr>
        <w:jc w:val="center"/>
      </w:pPr>
      <w:r>
        <w:t>_______________________________________________</w:t>
      </w:r>
    </w:p>
    <w:p/>
    <w:p>
      <w:pPr>
        <w:jc w:val="center"/>
      </w:pPr>
      <w:r>
        <w:rPr>
          <w:b/>
        </w:rPr>
        <w:t>SUBSTITUTE HOUSE BILL 1633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Goehner, Entenman, Orcutt, Barkis, Boehnke, Steele, Chapman, Mead, Eslick, and Van Werven)</w:t>
      </w:r>
    </w:p>
    <w:p/>
    <w:p>
      <w:r>
        <w:rPr>
          <w:t xml:space="preserve">READ FIRST TIME 02/12/19.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permanent the posting of fuel tax rate information at fuel pumps; adding a new section to chapter 82.38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of agriculture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of agriculture shall provide notice of federal and state fuel tax rates, in the form of a fuel tax sticker, to be displayed on motor fuel pumps.</w:t>
      </w:r>
    </w:p>
    <w:p>
      <w:pPr>
        <w:spacing w:before="0" w:after="0" w:line="408" w:lineRule="exact"/>
        <w:ind w:left="0" w:right="0" w:firstLine="576"/>
        <w:jc w:val="left"/>
      </w:pPr>
      <w:r>
        <w:rPr/>
        <w:t xml:space="preserve">(3) The department of agriculture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of agriculture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of agriculture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3ad98d2a581640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ea118e8ed4eb2" /><Relationship Type="http://schemas.openxmlformats.org/officeDocument/2006/relationships/footer" Target="/word/footer1.xml" Id="R3ad98d2a5816405d" /></Relationships>
</file>