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7c864020647f8" /></Relationships>
</file>

<file path=word/document.xml><?xml version="1.0" encoding="utf-8"?>
<w:document xmlns:w="http://schemas.openxmlformats.org/wordprocessingml/2006/main">
  <w:body>
    <w:p>
      <w:r>
        <w:t>H-0883.2</w:t>
      </w:r>
    </w:p>
    <w:p>
      <w:pPr>
        <w:jc w:val="center"/>
      </w:pPr>
      <w:r>
        <w:t>_______________________________________________</w:t>
      </w:r>
    </w:p>
    <w:p/>
    <w:p>
      <w:pPr>
        <w:jc w:val="center"/>
      </w:pPr>
      <w:r>
        <w:rPr>
          <w:b/>
        </w:rPr>
        <w:t>HOUSE BILL 1652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DeBolt, Goodman, Fitzgibbon, Appleton, Ortiz-Self, Hudgins, Orwall, Jinkins, Sells, Tharinger, Kloba, Senn, Pollet, Stanford, Bergquist, and Macri</w:t>
      </w:r>
    </w:p>
    <w:p/>
    <w:p>
      <w:r>
        <w:rPr>
          <w:t xml:space="preserve">Read first time 01/25/19.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reenacting and amending RCW 42.56.270; adding a new section to chapter 82.04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containers may rupture, releasing fumes hazardous to workers and the remaining liquids may contribute to leachate problems in landfills. Some local governments are able to devote resources to provide collection sites or events for latex paint in order to provide their residents with at least some disposal options and to keep latex paint out of the solid waste stream. But residents and small businesses need additional and more convenient options for disposal of architectural paint. Drying latex for disposal is difficult for many residents and is wasteful of latex paint that can otherwise be reused or recycled. Local government special and moderate-risk waste collection programs are heavily impacted by the cost of managing unwanted architectural paints and these costs decrease the available funds to address other hazardous and hard-to-handle materials.</w:t>
      </w:r>
    </w:p>
    <w:p>
      <w:pPr>
        <w:spacing w:before="0" w:after="0" w:line="408" w:lineRule="exact"/>
        <w:ind w:left="0" w:right="0" w:firstLine="576"/>
        <w:jc w:val="left"/>
      </w:pPr>
      <w:r>
        <w:rPr/>
        <w:t xml:space="preserve">(2) Nationally, an estimated average of ten percent of architectural paint purchased becomes leftover paint.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(3)(a) It is in the best interest of Washington for paint manufacturers to assume responsibility for the development and implementation of a cost-effective paint stewardship program that:</w:t>
      </w:r>
    </w:p>
    <w:p>
      <w:pPr>
        <w:spacing w:before="0" w:after="0" w:line="408" w:lineRule="exact"/>
        <w:ind w:left="0" w:right="0" w:firstLine="576"/>
        <w:jc w:val="left"/>
      </w:pPr>
      <w:r>
        <w:rPr/>
        <w:t xml:space="preserve">(i) Develops and implements strategies to reduce the generation of leftover paint;</w:t>
      </w:r>
    </w:p>
    <w:p>
      <w:pPr>
        <w:spacing w:before="0" w:after="0" w:line="408" w:lineRule="exact"/>
        <w:ind w:left="0" w:right="0" w:firstLine="576"/>
        <w:jc w:val="left"/>
      </w:pPr>
      <w:r>
        <w:rPr/>
        <w:t xml:space="preserve">(ii) Promotes the reuse of leftover paint;</w:t>
      </w:r>
    </w:p>
    <w:p>
      <w:pPr>
        <w:spacing w:before="0" w:after="0" w:line="408" w:lineRule="exact"/>
        <w:ind w:left="0" w:right="0" w:firstLine="576"/>
        <w:jc w:val="left"/>
      </w:pPr>
      <w:r>
        <w:rPr/>
        <w:t xml:space="preserve">(iii) Collects, transports, and processes leftover paint for end-of-life management, including reuse, recycling, energy recovery, and disposal; and</w:t>
      </w:r>
    </w:p>
    <w:p>
      <w:pPr>
        <w:spacing w:before="0" w:after="0" w:line="408" w:lineRule="exact"/>
        <w:ind w:left="0" w:right="0" w:firstLine="576"/>
        <w:jc w:val="left"/>
      </w:pPr>
      <w:r>
        <w:rPr/>
        <w:t xml:space="preserve">(iv) Provides for transparency under chapter 42.56 RCW, the public records act.</w:t>
      </w:r>
    </w:p>
    <w:p>
      <w:pPr>
        <w:spacing w:before="0" w:after="0" w:line="408" w:lineRule="exact"/>
        <w:ind w:left="0" w:right="0" w:firstLine="576"/>
        <w:jc w:val="left"/>
      </w:pPr>
      <w:r>
        <w:rPr/>
        <w:t xml:space="preserve">(b) A paint stewardship program will follow the paint waste management hierarchy for managing and reducing leftover paint in the order as follows:</w:t>
      </w:r>
    </w:p>
    <w:p>
      <w:pPr>
        <w:spacing w:before="0" w:after="0" w:line="408" w:lineRule="exact"/>
        <w:ind w:left="0" w:right="0" w:firstLine="576"/>
        <w:jc w:val="left"/>
      </w:pPr>
      <w:r>
        <w:rPr/>
        <w:t xml:space="preserve">(i) Reduce consumer generation of leftover paint;</w:t>
      </w:r>
    </w:p>
    <w:p>
      <w:pPr>
        <w:spacing w:before="0" w:after="0" w:line="408" w:lineRule="exact"/>
        <w:ind w:left="0" w:right="0" w:firstLine="576"/>
        <w:jc w:val="left"/>
      </w:pPr>
      <w:r>
        <w:rPr/>
        <w:t xml:space="preserve">(ii) Reuse;</w:t>
      </w:r>
    </w:p>
    <w:p>
      <w:pPr>
        <w:spacing w:before="0" w:after="0" w:line="408" w:lineRule="exact"/>
        <w:ind w:left="0" w:right="0" w:firstLine="576"/>
        <w:jc w:val="left"/>
      </w:pPr>
      <w:r>
        <w:rPr/>
        <w:t xml:space="preserve">(iii) Recycle; and</w:t>
      </w:r>
    </w:p>
    <w:p>
      <w:pPr>
        <w:spacing w:before="0" w:after="0" w:line="408" w:lineRule="exact"/>
        <w:ind w:left="0" w:right="0" w:firstLine="576"/>
        <w:jc w:val="left"/>
      </w:pPr>
      <w:r>
        <w:rPr/>
        <w:t xml:space="preserve">(iv) Provide for energy recovery and disposal.</w:t>
      </w:r>
    </w:p>
    <w:p>
      <w:pPr>
        <w:spacing w:before="0" w:after="0" w:line="408" w:lineRule="exact"/>
        <w:ind w:left="0" w:right="0" w:firstLine="576"/>
        <w:jc w:val="left"/>
      </w:pPr>
      <w:r>
        <w:rPr/>
        <w:t xml:space="preserve">(c) The establishment of a comprehensive leftover paint management program that requires paint manufacturers to assume responsibility for the collection, recycling, reuse, transportation, and disposal of leftover paint, and that allows paint retailers to voluntarily participate in the collection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Washington's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may be a toxic and hard-to-handle waste product that is appropriate for a product stewardship program to increase the safe, convenient, and effective reuse, recycling, and disposal of leftover paint. Product stewardship programs for toxic and hard-to-handle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stewardship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that brings leftover architectural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May 30, 2020, or within one year of the effective date of this section,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section 6(4) of this act,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(1)(h)(ii)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an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recycling.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section 4 of this act, whichever is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8 of this act.</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6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section 4(1) of this act.</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assess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section 8 of this act within ninety days of its submission to ensure compliance with section 8(1)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participating in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distributor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leftover architectural paint collected through a paint stewardship program.</w:t>
      </w:r>
    </w:p>
    <w:p>
      <w:pPr>
        <w:spacing w:before="0" w:after="0" w:line="408" w:lineRule="exact"/>
        <w:ind w:left="0" w:right="0" w:firstLine="576"/>
        <w:jc w:val="left"/>
      </w:pPr>
      <w:r>
        <w:rPr/>
        <w:t xml:space="preserve">(4) Neither a paint retailer, nor any other retailer, is required to serve as a leftover paint collection facility.</w:t>
      </w:r>
    </w:p>
    <w:p>
      <w:pPr>
        <w:spacing w:before="0" w:after="0" w:line="408" w:lineRule="exact"/>
        <w:ind w:left="0" w:right="0" w:firstLine="576"/>
        <w:jc w:val="left"/>
      </w:pPr>
      <w:r>
        <w:rPr/>
        <w:t xml:space="preserve">(5) No fee may be charged at the time of delivery of leftover paint to a drop-off or take-back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section 13 of this act,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program plan pursuant to section 4 of this act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section 4(1) (c)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service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records,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are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Records filed with the department of ecology under chapter 70.--- RCW (the new chapter created in section 17 of this act) that a court has determined are confidential valuable commercial information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17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6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ec2fa02822544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821ec34a84187" /><Relationship Type="http://schemas.openxmlformats.org/officeDocument/2006/relationships/footer" Target="/word/footer1.xml" Id="R1ec2fa02822544b3" /></Relationships>
</file>