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467be6470b48f6" /></Relationships>
</file>

<file path=word/document.xml><?xml version="1.0" encoding="utf-8"?>
<w:document xmlns:w="http://schemas.openxmlformats.org/wordprocessingml/2006/main">
  <w:body>
    <w:p>
      <w:r>
        <w:t>H-2078.1</w:t>
      </w:r>
    </w:p>
    <w:p>
      <w:pPr>
        <w:jc w:val="center"/>
      </w:pPr>
      <w:r>
        <w:t>_______________________________________________</w:t>
      </w:r>
    </w:p>
    <w:p/>
    <w:p>
      <w:pPr>
        <w:jc w:val="center"/>
      </w:pPr>
      <w:r>
        <w:rPr>
          <w:b/>
        </w:rPr>
        <w:t>SUBSTITUTE HOUSE BILL 1661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Chandler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higher education retirement plans; amending RCW 28B.10.423, 41.45.050, 41.45.060, and 41.50.075; adding a new section to chapter 41.50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contribution rates for the supplemental benefits of the higher education retirement plan that are specific to individual higher education institutions. The rates established in this act are subject to periodic revision by the pension funding council as experience and new actuarial analysis becomes available to maintain progress towards funding the actuarial liabilities that each institution has for these benefits. At such time that the council determines an institution has sufficient assets, as specified in RCW 28B.10.423(4)(g)(i) in the higher education retirement plan supplemental benefit fund, responsibility for administering those benefits will transition to the department of retirement systems and benefit payments will commence from each institution's portion of the higher education retirement plan supplemental benefit fund. Future contribution rates will represent the cost of paying on a combined prefunded and pay-as-you-go basis, as adopted by the council, with the goal of reducing the year-to-year changes in cost that the higher education retirement plan supplemental benefit has under current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A higher education retirement plan supplemental benefit fund </w:t>
      </w:r>
      <w:r>
        <w:t>((</w:t>
      </w:r>
      <w:r>
        <w:rPr>
          <w:strike/>
        </w:rPr>
        <w:t xml:space="preserve">is</w:t>
      </w:r>
      <w:r>
        <w:t>))</w:t>
      </w:r>
      <w:r>
        <w:rPr/>
        <w:t xml:space="preserve"> </w:t>
      </w:r>
      <w:r>
        <w:rPr>
          <w:u w:val="single"/>
        </w:rPr>
        <w:t xml:space="preserve">was</w:t>
      </w:r>
      <w:r>
        <w:rPr/>
        <w:t xml:space="preserve"> created in the custody of the state treasurer </w:t>
      </w:r>
      <w:r>
        <w:rPr>
          <w:u w:val="single"/>
        </w:rPr>
        <w:t xml:space="preserve">in this section</w:t>
      </w:r>
      <w:r>
        <w:rPr/>
        <w:t xml:space="preserve"> for the purpose of funding future benefit obligations of higher education retirement plan supplemental benefits. </w:t>
      </w:r>
      <w:r>
        <w:rPr>
          <w:u w:val="single"/>
        </w:rPr>
        <w:t xml:space="preserve">The creation of the fund is moved to RCW 41.50.075, so that along with the other defined benefit funds of the state retirement systems, the fund may be administered and invested along with the other funds of the state retirement systems.</w:t>
      </w:r>
      <w:r>
        <w:rPr/>
        <w:t xml:space="preserve"> The state investment board has the full power to invest, reinvest, manage, contract, sell, or exchange investment money in the fund.</w:t>
      </w:r>
    </w:p>
    <w:p>
      <w:pPr>
        <w:spacing w:before="0" w:after="0" w:line="408" w:lineRule="exact"/>
        <w:ind w:left="0" w:right="0" w:firstLine="576"/>
        <w:jc w:val="left"/>
      </w:pPr>
      <w:r>
        <w:rPr/>
        <w:t xml:space="preserve">(b)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rPr/>
        <w:t xml:space="preserve">(c)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rPr/>
        <w:t xml:space="preserve">(d)</w:t>
      </w:r>
      <w:r>
        <w:rPr>
          <w:u w:val="single"/>
        </w:rPr>
        <w:t xml:space="preserve">(i) Beginning July 1, 2019,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0.28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(f) of this subsection.</w:t>
      </w:r>
    </w:p>
    <w:p>
      <w:pPr>
        <w:spacing w:before="0" w:after="0" w:line="408" w:lineRule="exact"/>
        <w:ind w:left="0" w:right="0" w:firstLine="576"/>
        <w:jc w:val="left"/>
      </w:pPr>
      <w:r>
        <w:rPr>
          <w:u w:val="single"/>
        </w:rPr>
        <w:t xml:space="preserve">(iii) For purposes of budgeting the cost of the contribution rates in this subsection (4), and as they may be changed by the pension funding council, the higher education retirement plan supplemental benefit contribution rates are subject to the limit established in subsection (2) of this section.</w:t>
      </w:r>
    </w:p>
    <w:p>
      <w:pPr>
        <w:spacing w:before="0" w:after="0" w:line="408" w:lineRule="exact"/>
        <w:ind w:left="0" w:right="0" w:firstLine="576"/>
        <w:jc w:val="left"/>
      </w:pPr>
      <w:r>
        <w:rPr>
          <w:u w:val="single"/>
        </w:rPr>
        <w:t xml:space="preserve">(e)</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Following the completion and review of the </w:t>
      </w:r>
      <w:r>
        <w:t>((</w:t>
      </w:r>
      <w:r>
        <w:rPr>
          <w:strike/>
        </w:rPr>
        <w:t xml:space="preserve">initial</w:t>
      </w:r>
      <w:r>
        <w:t>))</w:t>
      </w:r>
      <w:r>
        <w:rPr/>
        <w:t xml:space="preserve"> </w:t>
      </w:r>
      <w:r>
        <w:rPr>
          <w:u w:val="single"/>
        </w:rPr>
        <w:t xml:space="preserve">most recent</w:t>
      </w:r>
      <w:r>
        <w:rPr/>
        <w:t xml:space="preserve"> actuarial valuations and experience study conducted pursuant to subsection (3) of this section, the pension funding council may</w:t>
      </w:r>
      <w:r>
        <w:rPr>
          <w:u w:val="single"/>
        </w:rPr>
        <w:t xml:space="preserve">, by no later than July 31, 2020, and every two years thereafter</w:t>
      </w:r>
      <w:r>
        <w:rPr/>
        <w:t xml:space="preserve">:</w:t>
      </w:r>
    </w:p>
    <w:p>
      <w:pPr>
        <w:spacing w:before="0" w:after="0" w:line="408" w:lineRule="exact"/>
        <w:ind w:left="0" w:right="0" w:firstLine="576"/>
        <w:jc w:val="left"/>
      </w:pPr>
      <w:r>
        <w:rPr/>
        <w:t xml:space="preserve">(i) Adopt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p>
    <w:p>
      <w:pPr>
        <w:spacing w:before="0" w:after="0" w:line="408" w:lineRule="exact"/>
        <w:ind w:left="0" w:right="0" w:firstLine="576"/>
        <w:jc w:val="left"/>
      </w:pPr>
      <w:r>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p>
    <w:p>
      <w:pPr>
        <w:spacing w:before="0" w:after="0" w:line="408" w:lineRule="exact"/>
        <w:ind w:left="0" w:right="0" w:firstLine="576"/>
        <w:jc w:val="left"/>
      </w:pPr>
      <w:r>
        <w:rPr>
          <w:u w:val="single"/>
        </w:rPr>
        <w:t xml:space="preserve">(g)(i)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or indirectly on a pay-as-you-go basis, plus the cost of contributions to the higher education retirement plan supplemental benefit fund, on an annual basis.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2030.</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fund and amounts received from each institution accounted for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reasonably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 There is hereby established in the state treasury the higher education retirement plan supplemental benefit fund. The higher education retirement plan supplemental benefit fund shall consist of all moneys paid to finance the benefits provided to members of the higher education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the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No later than upon the department's assumption of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69f34eb0da7d45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f89f3c06a4aa1" /><Relationship Type="http://schemas.openxmlformats.org/officeDocument/2006/relationships/footer" Target="/word/footer1.xml" Id="R69f34eb0da7d45f0" /></Relationships>
</file>