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a0778a09a4eff" /></Relationships>
</file>

<file path=word/document.xml><?xml version="1.0" encoding="utf-8"?>
<w:document xmlns:w="http://schemas.openxmlformats.org/wordprocessingml/2006/main">
  <w:body>
    <w:p>
      <w:r>
        <w:t>H-0710.2</w:t>
      </w:r>
    </w:p>
    <w:p>
      <w:pPr>
        <w:jc w:val="center"/>
      </w:pPr>
      <w:r>
        <w:t>_______________________________________________</w:t>
      </w:r>
    </w:p>
    <w:p/>
    <w:p>
      <w:pPr>
        <w:jc w:val="center"/>
      </w:pPr>
      <w:r>
        <w:rPr>
          <w:b/>
        </w:rPr>
        <w:t>HOUSE BILL 1681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Entenman, Macri, Reeves, Robinson, Cody, Frame, Pollet, Ormsby, Appleton, Ryu, and Jinkins</w:t>
      </w:r>
    </w:p>
    <w:p/>
    <w:p>
      <w:r>
        <w:rPr>
          <w:t xml:space="preserve">Read first time 01/28/19.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working families tax exemption by imposing a surcharge on publicly traded companies providing excessive executive compensation; amending RCW 82.08.0206; adding a new section to chapter 82.04 RCW; adding a new section to chapter 82.16 RCW; adding a new section to chapter 82.08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wages of workers continue to stagnate while chief executive officer (CEO) pay continues to grow rapidly. The pay for top executives is often hundreds, even thousands, of times that of the median worker at their companies. One study found that CEO pay grew nine hundred forty-three percent over thirty-five years, vastly outpacing growth in the cost of living, the productivity of the economy, and the stock market. In the past decade, average pay for CEOs in the Pacific Northwest has climbed five times faster than it has for workers. This pay gap contributes to the increasing income inequality in the United States and further consolidation of wealth with the top one percent. It is the intent of the legislature to impose a surcharge on corporations with excessive CEO pay and provide funding for the working families tax exemption provided in RCW 82.08.0206.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in addition to the taxes imposed under this chapter, a surcharge is imposed on any person with an executive pay ratio of at least fifty to one in the previous calendar year. Except as provided in subsection (3) of this section, the surcharge is equal to ten percent of the tax otherwise payable under this chapter after credits pursuant to RCW 82.04.440 have been applied.</w:t>
      </w:r>
    </w:p>
    <w:p>
      <w:pPr>
        <w:spacing w:before="0" w:after="0" w:line="408" w:lineRule="exact"/>
        <w:ind w:left="0" w:right="0" w:firstLine="576"/>
        <w:jc w:val="left"/>
      </w:pPr>
      <w:r>
        <w:rPr/>
        <w:t xml:space="preserve">(2) The surcharge applies to taxes due for the calendar year following the year in which the executive pay ratio under subsection (1) of this section occurred. If the executive pay ratio of a publicly traded company changes during the course of a calendar year, adjustments to the surcharge resulting from the change take effect January 1st of the calendar year following the year in which the change occurred.</w:t>
      </w:r>
    </w:p>
    <w:p>
      <w:pPr>
        <w:spacing w:before="0" w:after="0" w:line="408" w:lineRule="exact"/>
        <w:ind w:left="0" w:right="0" w:firstLine="576"/>
        <w:jc w:val="left"/>
      </w:pPr>
      <w:r>
        <w:rPr/>
        <w:t xml:space="preserve">(3) If the executive pay ratio as reported to the United States securities and exchange commission, or its successor agency, for the previous calendar year is not disclosed by the taxpayer to the department, the rate of surcharge imposed is twenty-five percent for the applicable calendar years.</w:t>
      </w:r>
    </w:p>
    <w:p>
      <w:pPr>
        <w:spacing w:before="0" w:after="0" w:line="408" w:lineRule="exact"/>
        <w:ind w:left="0" w:right="0" w:firstLine="576"/>
        <w:jc w:val="left"/>
      </w:pPr>
      <w:r>
        <w:rPr/>
        <w:t xml:space="preserve">(4) Companies not publicly traded, but listed as a subsidiary in the filings of the parent company with the United States securities and exchange commission, are subject to the surcharge if the parent is subject to the surcharge.</w:t>
      </w:r>
    </w:p>
    <w:p>
      <w:pPr>
        <w:spacing w:before="0" w:after="0" w:line="408" w:lineRule="exact"/>
        <w:ind w:left="0" w:right="0" w:firstLine="576"/>
        <w:jc w:val="left"/>
      </w:pPr>
      <w:r>
        <w:rPr/>
        <w:t xml:space="preserve">(5) All revenues collected under this subsection must be deposited into the working families tax exemption account created in section 5 of this act.</w:t>
      </w:r>
    </w:p>
    <w:p>
      <w:pPr>
        <w:spacing w:before="0" w:after="0" w:line="408" w:lineRule="exact"/>
        <w:ind w:left="0" w:right="0" w:firstLine="576"/>
        <w:jc w:val="left"/>
      </w:pPr>
      <w:r>
        <w:rPr/>
        <w:t xml:space="preserve">(6) For the purposes of this section, "executive pay ratio" means the ratio of the annual compensation of the chief executive officer compared to the median annual compensation of all other employees that is required to be disclosed pursuant to section 953 of the Dodd-Frank wall street reform and consumer protection act (P.L. 111-203) and reported to the United States securities and exchange commission,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2020, in addition to the taxes imposed under this chapter, a surcharge is imposed on any person with an executive pay ratio of at least fifty to one in the previous calendar year. Except as provided in subsection (3) of this section, the surcharge is equal to ten percent of the tax otherwise payable under this chapter.</w:t>
      </w:r>
    </w:p>
    <w:p>
      <w:pPr>
        <w:spacing w:before="0" w:after="0" w:line="408" w:lineRule="exact"/>
        <w:ind w:left="0" w:right="0" w:firstLine="576"/>
        <w:jc w:val="left"/>
      </w:pPr>
      <w:r>
        <w:rPr/>
        <w:t xml:space="preserve">(2) The surcharge applies to taxes due for the calendar year following the year in which the executive pay ratio under subsection (1) of this section occurred. If the executive pay ratio of a publicly traded company changes during the course of a calendar year, adjustments to the surcharge resulting from the change take effect January 1st of the calendar year following the year in which the change occurred.</w:t>
      </w:r>
    </w:p>
    <w:p>
      <w:pPr>
        <w:spacing w:before="0" w:after="0" w:line="408" w:lineRule="exact"/>
        <w:ind w:left="0" w:right="0" w:firstLine="576"/>
        <w:jc w:val="left"/>
      </w:pPr>
      <w:r>
        <w:rPr/>
        <w:t xml:space="preserve">(3) If the executive pay ratio as reported to the United States securities and exchange commission, or its successor agency, for the previous calendar year is not disclosed by the taxpayer to the department, the rate of surcharge imposed is twenty-five percent for the applicable calendar years.</w:t>
      </w:r>
    </w:p>
    <w:p>
      <w:pPr>
        <w:spacing w:before="0" w:after="0" w:line="408" w:lineRule="exact"/>
        <w:ind w:left="0" w:right="0" w:firstLine="576"/>
        <w:jc w:val="left"/>
      </w:pPr>
      <w:r>
        <w:rPr/>
        <w:t xml:space="preserve">(4) Companies not publicly traded, but listed as a subsidiary in the filings of the parent company with the United States securities and exchange commission, are subject to the surcharge if the parent is subject to the surcharge.</w:t>
      </w:r>
    </w:p>
    <w:p>
      <w:pPr>
        <w:spacing w:before="0" w:after="0" w:line="408" w:lineRule="exact"/>
        <w:ind w:left="0" w:right="0" w:firstLine="576"/>
        <w:jc w:val="left"/>
      </w:pPr>
      <w:r>
        <w:rPr/>
        <w:t xml:space="preserve">(5) All revenues collected under this subsection must be deposited into the working families tax exemption account created in section 5 of this act.</w:t>
      </w:r>
    </w:p>
    <w:p>
      <w:pPr>
        <w:spacing w:before="0" w:after="0" w:line="408" w:lineRule="exact"/>
        <w:ind w:left="0" w:right="0" w:firstLine="576"/>
        <w:jc w:val="left"/>
      </w:pPr>
      <w:r>
        <w:rPr/>
        <w:t xml:space="preserve">(6) For the purposes of this section, "executive pay ratio" means the ratio of the annual compensation of the chief executive officer compared to the median annual compensation of all other employees that is required to be disclosed pursuant to section 953 of the Dodd-Frank wall street reform and consumer protection act (P.L. 111-203) and reported to the United States securities and exchange commission,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and in compliance with RCW 43.01.036, the department of revenue and the employment security department must submit a report to the legislature regarding the feasibility of extending this act to taxpayers not currently required to disclose executive pay ratio under the Dodd-Frank wall street reform and consumer protection act (P.L. 111-203).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w:t>
      </w:r>
      <w:r>
        <w:t>((</w:t>
      </w:r>
      <w:r>
        <w:rPr>
          <w:strike/>
        </w:rPr>
        <w:t xml:space="preserve">January 1, 2008</w:t>
      </w:r>
      <w:r>
        <w:t>))</w:t>
      </w:r>
      <w:r>
        <w:rPr/>
        <w:t xml:space="preserve"> </w:t>
      </w:r>
      <w:r>
        <w:rPr>
          <w:u w:val="single"/>
        </w:rPr>
        <w:t xml:space="preserve">December 31, 2019</w:t>
      </w:r>
      <w:r>
        <w:rPr/>
        <w:t xml:space="preserve">.</w:t>
      </w:r>
    </w:p>
    <w:p>
      <w:pPr>
        <w:spacing w:before="0" w:after="0" w:line="408" w:lineRule="exact"/>
        <w:ind w:left="0" w:right="0" w:firstLine="576"/>
        <w:jc w:val="left"/>
      </w:pPr>
      <w:r>
        <w:rPr/>
        <w:t xml:space="preserve">(2) For purposes of the exemption in this section, an eligible low-income person is:</w:t>
      </w:r>
    </w:p>
    <w:p>
      <w:pPr>
        <w:spacing w:before="0" w:after="0" w:line="408" w:lineRule="exact"/>
        <w:ind w:left="0" w:right="0" w:firstLine="576"/>
        <w:jc w:val="left"/>
      </w:pPr>
      <w:r>
        <w:rPr/>
        <w:t xml:space="preserve">(a) An individual, or an individual and that individual's spouse if they file a federal joint income tax return;</w:t>
      </w:r>
    </w:p>
    <w:p>
      <w:pPr>
        <w:spacing w:before="0" w:after="0" w:line="408" w:lineRule="exact"/>
        <w:ind w:left="0" w:right="0" w:firstLine="576"/>
        <w:jc w:val="left"/>
      </w:pPr>
      <w:r>
        <w:rPr/>
        <w:t xml:space="preserve">(b) </w:t>
      </w:r>
      <w:r>
        <w:t>((</w:t>
      </w:r>
      <w:r>
        <w:rPr>
          <w:strike/>
        </w:rPr>
        <w:t xml:space="preserve">[An individual who]</w:t>
      </w:r>
      <w:r>
        <w:t>))</w:t>
      </w:r>
      <w:r>
        <w:rPr/>
        <w:t xml:space="preserve"> </w:t>
      </w:r>
      <w:r>
        <w:rPr>
          <w:u w:val="single"/>
        </w:rPr>
        <w:t xml:space="preserve">An individual w</w:t>
      </w:r>
      <w:r>
        <w:rPr/>
        <w:t xml:space="preserve">ho is eligible for, and </w:t>
      </w:r>
      <w:r>
        <w:t>((</w:t>
      </w:r>
      <w:r>
        <w:rPr>
          <w:strike/>
        </w:rPr>
        <w:t xml:space="preserve">is granted</w:t>
      </w:r>
      <w:r>
        <w:t>))</w:t>
      </w:r>
      <w:r>
        <w:rPr/>
        <w:t xml:space="preserve"> </w:t>
      </w:r>
      <w:r>
        <w:rPr>
          <w:u w:val="single"/>
        </w:rPr>
        <w:t xml:space="preserve">has claimed</w:t>
      </w:r>
      <w:r>
        <w:rPr/>
        <w:t xml:space="preserve">, the credit provided in Title 26 U.S.C. Sec. 32; and</w:t>
      </w:r>
    </w:p>
    <w:p>
      <w:pPr>
        <w:spacing w:before="0" w:after="0" w:line="408" w:lineRule="exact"/>
        <w:ind w:left="0" w:right="0" w:firstLine="576"/>
        <w:jc w:val="left"/>
      </w:pPr>
      <w:r>
        <w:rPr/>
        <w:t xml:space="preserve">(c) </w:t>
      </w:r>
      <w:r>
        <w:t>((</w:t>
      </w:r>
      <w:r>
        <w:rPr>
          <w:strike/>
        </w:rPr>
        <w:t xml:space="preserve">[An individual who]</w:t>
      </w:r>
      <w:r>
        <w:t>))</w:t>
      </w:r>
      <w:r>
        <w:rPr/>
        <w:t xml:space="preserve"> </w:t>
      </w:r>
      <w:r>
        <w:rPr>
          <w:u w:val="single"/>
        </w:rPr>
        <w:t xml:space="preserve">An individual w</w:t>
      </w:r>
      <w:r>
        <w:rPr/>
        <w:t xml:space="preserve">ho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 and thereafter,</w:t>
      </w:r>
      <w:r>
        <w:t>))</w:t>
      </w:r>
      <w:r>
        <w:rPr/>
        <w:t xml:space="preserve"> </w:t>
      </w:r>
      <w:r>
        <w:rPr>
          <w:u w:val="single"/>
        </w:rPr>
        <w:t xml:space="preserve">T</w:t>
      </w:r>
      <w:r>
        <w:rPr/>
        <w:t xml:space="preserve">he working families' tax exemption for the prior year is equal to the greater of ten percent of the credit granted as a result of Title 26 U.S.C. Sec. 32 in the most recent year for which data is available or fifty dollars. </w:t>
      </w:r>
      <w:r>
        <w:rPr>
          <w:u w:val="single"/>
        </w:rPr>
        <w:t xml:space="preserve">However, remittances may be issued based on the amount of credit claimed by an eligible low-income person under Title 26 U.S.C. Sec. 32 on a federal income tax return for the prior calendar year, and the employment security department may subsequently verify the amount of such credit granted by the internal revenue service.</w:t>
      </w:r>
    </w:p>
    <w:p>
      <w:pPr>
        <w:spacing w:before="0" w:after="0" w:line="408" w:lineRule="exact"/>
        <w:ind w:left="0" w:right="0" w:firstLine="576"/>
        <w:jc w:val="left"/>
      </w:pPr>
      <w:r>
        <w:rPr/>
        <w:t xml:space="preserve">(4)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t xml:space="preserve">(5) The working families' tax exemption </w:t>
      </w:r>
      <w:r>
        <w:t>((</w:t>
      </w:r>
      <w:r>
        <w:rPr>
          <w:strike/>
        </w:rPr>
        <w:t xml:space="preserve">shall</w:t>
      </w:r>
      <w:r>
        <w:t>))</w:t>
      </w:r>
      <w:r>
        <w:rPr/>
        <w:t xml:space="preserve"> </w:t>
      </w:r>
      <w:r>
        <w:rPr>
          <w:u w:val="single"/>
        </w:rPr>
        <w:t xml:space="preserve">must</w:t>
      </w:r>
      <w:r>
        <w:rPr/>
        <w:t xml:space="preserve"> be administered as provided in this subsection.</w:t>
      </w:r>
    </w:p>
    <w:p>
      <w:pPr>
        <w:spacing w:before="0" w:after="0" w:line="408" w:lineRule="exact"/>
        <w:ind w:left="0" w:right="0" w:firstLine="576"/>
        <w:jc w:val="left"/>
      </w:pPr>
      <w:r>
        <w:rPr/>
        <w:t xml:space="preserve">(a)</w:t>
      </w:r>
      <w:r>
        <w:rPr>
          <w:u w:val="single"/>
        </w:rPr>
        <w:t xml:space="preserve">(i)</w:t>
      </w:r>
      <w:r>
        <w:rPr/>
        <w:t xml:space="preserve">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u w:val="single"/>
        </w:rPr>
        <w:t xml:space="preserve">(ii) A person may not claim an exemption on behalf of a deceased individual.</w:t>
      </w:r>
    </w:p>
    <w:p>
      <w:pPr>
        <w:spacing w:before="0" w:after="0" w:line="408" w:lineRule="exact"/>
        <w:ind w:left="0" w:right="0" w:firstLine="576"/>
        <w:jc w:val="left"/>
      </w:pPr>
      <w:r>
        <w:rPr>
          <w:u w:val="single"/>
        </w:rPr>
        <w:t xml:space="preserve">(iii) No individual may claim an exemption under this section for any year in a disallowance period under 26 U.S.C. Sec. 32(k)(1) or for any year in which the individual is ineligible to claim a credit under 26 U.S.C. Sec. 32 by reason of 26 U.S.C. Sec. 32(k)(2).</w:t>
      </w:r>
    </w:p>
    <w:p>
      <w:pPr>
        <w:spacing w:before="0" w:after="0" w:line="408" w:lineRule="exact"/>
        <w:ind w:left="0" w:right="0" w:firstLine="576"/>
        <w:jc w:val="left"/>
      </w:pPr>
      <w:r>
        <w:rPr/>
        <w:t xml:space="preserve">(b) Application </w:t>
      </w:r>
      <w:r>
        <w:t>((</w:t>
      </w:r>
      <w:r>
        <w:rPr>
          <w:strike/>
        </w:rPr>
        <w:t xml:space="preserve">shall</w:t>
      </w:r>
      <w:r>
        <w:t>))</w:t>
      </w:r>
      <w:r>
        <w:rPr/>
        <w:t xml:space="preserve"> </w:t>
      </w:r>
      <w:r>
        <w:rPr>
          <w:u w:val="single"/>
        </w:rPr>
        <w:t xml:space="preserve">must</w:t>
      </w:r>
      <w:r>
        <w:rPr/>
        <w:t xml:space="preserve"> be made to the </w:t>
      </w:r>
      <w:r>
        <w:rPr>
          <w:u w:val="single"/>
        </w:rPr>
        <w:t xml:space="preserve">employment security</w:t>
      </w:r>
      <w:r>
        <w:rPr/>
        <w:t xml:space="preserve"> department in a form and manner determined by the department, but the </w:t>
      </w:r>
      <w:r>
        <w:rPr>
          <w:u w:val="single"/>
        </w:rPr>
        <w:t xml:space="preserve">employment security</w:t>
      </w:r>
      <w:r>
        <w:rPr/>
        <w:t xml:space="preserv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w:t>
      </w:r>
      <w:r>
        <w:t>((</w:t>
      </w:r>
      <w:r>
        <w:rPr>
          <w:strike/>
        </w:rPr>
        <w:t xml:space="preserve">2008</w:t>
      </w:r>
      <w:r>
        <w:t>))</w:t>
      </w:r>
      <w:r>
        <w:rPr/>
        <w:t xml:space="preserve"> </w:t>
      </w:r>
      <w:r>
        <w:rPr>
          <w:u w:val="single"/>
        </w:rPr>
        <w:t xml:space="preserve">2020</w:t>
      </w:r>
      <w:r>
        <w:rPr/>
        <w:t xml:space="preserve">. The department may use the best available data to process the exemption remittance. The department </w:t>
      </w:r>
      <w:r>
        <w:t>((</w:t>
      </w:r>
      <w:r>
        <w:rPr>
          <w:strike/>
        </w:rPr>
        <w:t xml:space="preserve">shall</w:t>
      </w:r>
      <w:r>
        <w:t>))</w:t>
      </w:r>
      <w:r>
        <w:rPr/>
        <w:t xml:space="preserve"> </w:t>
      </w:r>
      <w:r>
        <w:rPr>
          <w:u w:val="single"/>
        </w:rPr>
        <w:t xml:space="preserve">must</w:t>
      </w:r>
      <w:r>
        <w:rPr/>
        <w:t xml:space="preserve"> begin accepting applications October 1, </w:t>
      </w:r>
      <w:r>
        <w:t>((</w:t>
      </w:r>
      <w:r>
        <w:rPr>
          <w:strike/>
        </w:rPr>
        <w:t xml:space="preserve">2009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w:t>
      </w:r>
      <w:r>
        <w:t>((</w:t>
      </w:r>
      <w:r>
        <w:rPr>
          <w:strike/>
        </w:rPr>
        <w:t xml:space="preserve">shall</w:t>
      </w:r>
      <w:r>
        <w:t>))</w:t>
      </w:r>
      <w:r>
        <w:rPr/>
        <w:t xml:space="preserve"> </w:t>
      </w:r>
      <w:r>
        <w:rPr>
          <w:u w:val="single"/>
        </w:rPr>
        <w:t xml:space="preserve">must</w:t>
      </w:r>
      <w:r>
        <w:rPr/>
        <w:t xml:space="preserve">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The </w:t>
      </w:r>
      <w:r>
        <w:rPr>
          <w:u w:val="single"/>
        </w:rPr>
        <w:t xml:space="preserve">employment security</w:t>
      </w:r>
      <w:r>
        <w:rPr/>
        <w:t xml:space="preserve"> department </w:t>
      </w:r>
      <w:r>
        <w:t>((</w:t>
      </w:r>
      <w:r>
        <w:rPr>
          <w:strike/>
        </w:rPr>
        <w:t xml:space="preserve">shall</w:t>
      </w:r>
      <w:r>
        <w:t>))</w:t>
      </w:r>
      <w:r>
        <w:rPr/>
        <w:t xml:space="preserve"> </w:t>
      </w:r>
      <w:r>
        <w:rPr>
          <w:u w:val="single"/>
        </w:rPr>
        <w:t xml:space="preserve">must</w:t>
      </w:r>
      <w:r>
        <w:rPr/>
        <w:t xml:space="preserve">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t xml:space="preserve">(f) The </w:t>
      </w:r>
      <w:r>
        <w:rPr>
          <w:u w:val="single"/>
        </w:rPr>
        <w:t xml:space="preserve">employment security</w:t>
      </w:r>
      <w:r>
        <w:rPr/>
        <w:t xml:space="preserv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w:t>
      </w:r>
      <w:r>
        <w:rPr>
          <w:u w:val="single"/>
        </w:rPr>
        <w:t xml:space="preserve">employment security</w:t>
      </w:r>
      <w:r>
        <w:rPr/>
        <w:t xml:space="preserv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t xml:space="preserve">(6) The provisions of chapter </w:t>
      </w:r>
      <w:r>
        <w:t>((</w:t>
      </w:r>
      <w:r>
        <w:rPr>
          <w:strike/>
        </w:rPr>
        <w:t xml:space="preserve">82.32</w:t>
      </w:r>
      <w:r>
        <w:t>))</w:t>
      </w:r>
      <w:r>
        <w:rPr/>
        <w:t xml:space="preserve"> </w:t>
      </w:r>
      <w:r>
        <w:rPr>
          <w:u w:val="single"/>
        </w:rPr>
        <w:t xml:space="preserve">50.12</w:t>
      </w:r>
      <w:r>
        <w:rPr/>
        <w:t xml:space="preserve"> RCW apply to the exemption in this section.</w:t>
      </w:r>
    </w:p>
    <w:p>
      <w:pPr>
        <w:spacing w:before="0" w:after="0" w:line="408" w:lineRule="exact"/>
        <w:ind w:left="0" w:right="0" w:firstLine="576"/>
        <w:jc w:val="left"/>
      </w:pPr>
      <w:r>
        <w:rPr/>
        <w:t xml:space="preserve">(7) The </w:t>
      </w:r>
      <w:r>
        <w:rPr>
          <w:u w:val="single"/>
        </w:rPr>
        <w:t xml:space="preserve">employment security</w:t>
      </w:r>
      <w:r>
        <w:rPr/>
        <w:t xml:space="preserve"> department may adopt rules necessary to implement this section.</w:t>
      </w:r>
    </w:p>
    <w:p>
      <w:pPr>
        <w:spacing w:before="0" w:after="0" w:line="408" w:lineRule="exact"/>
        <w:ind w:left="0" w:right="0" w:firstLine="576"/>
        <w:jc w:val="left"/>
      </w:pPr>
      <w:r>
        <w:rPr/>
        <w:t xml:space="preserve">(8) The </w:t>
      </w:r>
      <w:r>
        <w:rPr>
          <w:u w:val="single"/>
        </w:rPr>
        <w:t xml:space="preserve">employment security</w:t>
      </w:r>
      <w:r>
        <w:rPr/>
        <w:t xml:space="preserve"> department </w:t>
      </w:r>
      <w:r>
        <w:t>((</w:t>
      </w:r>
      <w:r>
        <w:rPr>
          <w:strike/>
        </w:rPr>
        <w:t xml:space="preserve">shall</w:t>
      </w:r>
      <w:r>
        <w:t>))</w:t>
      </w:r>
      <w:r>
        <w:rPr/>
        <w:t xml:space="preserve"> </w:t>
      </w:r>
      <w:r>
        <w:rPr>
          <w:u w:val="single"/>
        </w:rPr>
        <w:t xml:space="preserve">must</w:t>
      </w:r>
      <w:r>
        <w:rPr/>
        <w:t xml:space="preserve"> limit its costs for the exemption program to the initial start-up costs to implement the program. The state omnibus appropriations act </w:t>
      </w:r>
      <w:r>
        <w:t>((</w:t>
      </w:r>
      <w:r>
        <w:rPr>
          <w:strike/>
        </w:rPr>
        <w:t xml:space="preserve">shall</w:t>
      </w:r>
      <w:r>
        <w:t>))</w:t>
      </w:r>
      <w:r>
        <w:rPr/>
        <w:t xml:space="preserve"> </w:t>
      </w:r>
      <w:r>
        <w:rPr>
          <w:u w:val="single"/>
        </w:rPr>
        <w:t xml:space="preserve">must</w:t>
      </w:r>
      <w:r>
        <w:rPr/>
        <w:t xml:space="preserve">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w:t>
      </w:r>
      <w:r>
        <w:rPr>
          <w:u w:val="single"/>
        </w:rPr>
        <w:t xml:space="preserve">employment security</w:t>
      </w:r>
      <w:r>
        <w:rPr/>
        <w:t xml:space="preserve"> department's call center, processing warrants, updating printed materials and web information, media advertising, and support and maintenance of computer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working families tax exemption account is created in the state treasury. All receipts from sections 2 and 3 of this act must be deposited into the account. Moneys in the account may be spent only after appropriation. Expenditures from the account may be used only for funding the working families tax exemption created in RCW 82.08.0206.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bed32103d8b4e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9645687cf4434" /><Relationship Type="http://schemas.openxmlformats.org/officeDocument/2006/relationships/footer" Target="/word/footer1.xml" Id="Rdbed32103d8b4e67" /></Relationships>
</file>