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48c5bf38f4024" /></Relationships>
</file>

<file path=word/document.xml><?xml version="1.0" encoding="utf-8"?>
<w:document xmlns:w="http://schemas.openxmlformats.org/wordprocessingml/2006/main">
  <w:body>
    <w:p>
      <w:r>
        <w:t>H-1168.1</w:t>
      </w:r>
    </w:p>
    <w:p>
      <w:pPr>
        <w:jc w:val="center"/>
      </w:pPr>
      <w:r>
        <w:t>_______________________________________________</w:t>
      </w:r>
    </w:p>
    <w:p/>
    <w:p>
      <w:pPr>
        <w:jc w:val="center"/>
      </w:pPr>
      <w:r>
        <w:rPr>
          <w:b/>
        </w:rPr>
        <w:t>HOUSE BILL 1756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Mosbrucker, Appleton, Frame, Goodman, Lovick, Gregerson, Sells, Davis, Doglio, and Ormsby</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security of adult entertainers;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 and</w:t>
      </w:r>
    </w:p>
    <w:p>
      <w:pPr>
        <w:spacing w:before="0" w:after="0" w:line="408" w:lineRule="exact"/>
        <w:ind w:left="0" w:right="0" w:firstLine="576"/>
        <w:jc w:val="left"/>
      </w:pPr>
      <w:r>
        <w:rPr/>
        <w:t xml:space="preserve">(iv) Resources for assistance.</w:t>
      </w:r>
    </w:p>
    <w:p>
      <w:pPr>
        <w:spacing w:before="0" w:after="0" w:line="408" w:lineRule="exact"/>
        <w:ind w:left="0" w:right="0" w:firstLine="576"/>
        <w:jc w:val="left"/>
      </w:pPr>
      <w:r>
        <w:rPr/>
        <w:t xml:space="preserve">(b) As a condition of receiving or renewing an adult entertainer license issued by a local government, an entertainer must sign an affidavit stating that the entertainer has taken the training described in (a) of this subsection.</w:t>
      </w:r>
    </w:p>
    <w:p>
      <w:pPr>
        <w:spacing w:before="0" w:after="0" w:line="408" w:lineRule="exact"/>
        <w:ind w:left="0" w:right="0" w:firstLine="576"/>
        <w:jc w:val="left"/>
      </w:pPr>
      <w:r>
        <w:rPr/>
        <w:t xml:space="preserve">(2) An adult entertainment establishment must provide a panic button to each entertainer who performs in the establishment, at no cost to the entertainer. An entertainer may use the panic button if the entertainer reasonably believes there is an ongoing crime, harassment, or other emergency in the entertainer's presence. The entertainer may cease work and leave the immediate area of perceived danger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If the advisory committee recommends that additional measures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carried by an entertainer by which the entertainer may summon immediate on-scene assistance from another entertainer, a security guard, or a representative of the entertainment establishment.</w:t>
      </w:r>
    </w:p>
    <w:p/>
    <w:p>
      <w:pPr>
        <w:jc w:val="center"/>
      </w:pPr>
      <w:r>
        <w:rPr>
          <w:b/>
        </w:rPr>
        <w:t>--- END ---</w:t>
      </w:r>
    </w:p>
    <w:sectPr>
      <w:pgNumType w:start="1"/>
      <w:footerReference xmlns:r="http://schemas.openxmlformats.org/officeDocument/2006/relationships" r:id="R0ff2dbbb084c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8415756624674" /><Relationship Type="http://schemas.openxmlformats.org/officeDocument/2006/relationships/footer" Target="/word/footer1.xml" Id="R0ff2dbbb084c485d" /></Relationships>
</file>