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9c3d7078e4649" /></Relationships>
</file>

<file path=word/document.xml><?xml version="1.0" encoding="utf-8"?>
<w:document xmlns:w="http://schemas.openxmlformats.org/wordprocessingml/2006/main">
  <w:body>
    <w:p>
      <w:r>
        <w:t>H-0318.1</w:t>
      </w:r>
    </w:p>
    <w:p>
      <w:pPr>
        <w:jc w:val="center"/>
      </w:pPr>
      <w:r>
        <w:t>_______________________________________________</w:t>
      </w:r>
    </w:p>
    <w:p/>
    <w:p>
      <w:pPr>
        <w:jc w:val="center"/>
      </w:pPr>
      <w:r>
        <w:rPr>
          <w:b/>
        </w:rPr>
        <w:t>HOUSE BILL 1821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Hudgins, Dolan, and Pellicciotti</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postelection audit reports; and amending RCW 29A.60.185 and 29A.60.190.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Prior to certification of the election as required by RCW 29A.60.190, the county auditor shall conduct an audit of duplicated ballots in accordance with subsection (2) of this section, and an audit using at minimum one of the following methods:</w:t>
      </w:r>
    </w:p>
    <w:p>
      <w:pPr>
        <w:spacing w:before="0" w:after="0" w:line="408" w:lineRule="exact"/>
        <w:ind w:left="0" w:right="0" w:firstLine="576"/>
        <w:jc w:val="left"/>
      </w:pPr>
      <w:r>
        <w:rPr/>
        <w:t xml:space="preserve">(a) 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four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one-fourth of the devices or systems selected for audit, the paper records must be tabulated manually; on the remaining devices or systems,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or system. This audit procedure must be subject to observation by political party representatives if representatives have been appointed and are present at the time of the audit.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t xml:space="preserve">(b) A random check of the ballot counting equipment consistent with RCW 29A.60.170(3);</w:t>
      </w:r>
    </w:p>
    <w:p>
      <w:pPr>
        <w:spacing w:before="0" w:after="0" w:line="408" w:lineRule="exact"/>
        <w:ind w:left="0" w:right="0" w:firstLine="576"/>
        <w:jc w:val="left"/>
      </w:pPr>
      <w:r>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t xml:space="preserve">(i) Approved by the secretary of state;</w:t>
      </w:r>
    </w:p>
    <w:p>
      <w:pPr>
        <w:spacing w:before="0" w:after="0" w:line="408" w:lineRule="exact"/>
        <w:ind w:left="0" w:right="0" w:firstLine="576"/>
        <w:jc w:val="left"/>
      </w:pPr>
      <w:r>
        <w:rPr/>
        <w:t xml:space="preserve">(ii) Completely independent from all voting systems, including ballot counting equipment, that is used in the county;</w:t>
      </w:r>
    </w:p>
    <w:p>
      <w:pPr>
        <w:spacing w:before="0" w:after="0" w:line="408" w:lineRule="exact"/>
        <w:ind w:left="0" w:right="0" w:firstLine="576"/>
        <w:jc w:val="left"/>
      </w:pPr>
      <w:r>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t xml:space="preserve">(2) 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t xml:space="preserve">(3)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t xml:space="preserve">(4) </w:t>
      </w:r>
      <w:r>
        <w:t>((</w:t>
      </w:r>
      <w:r>
        <w:rPr>
          <w:strike/>
        </w:rPr>
        <w:t xml:space="preserve">The secretary of state must establish rules by January 1, 2019, to implement and administer the auditing methods in this section, including facilitating public observation and reporting requirements.</w:t>
      </w:r>
      <w:r>
        <w:t>))</w:t>
      </w:r>
      <w:r>
        <w:rPr/>
        <w:t xml:space="preserve"> </w:t>
      </w:r>
      <w:r>
        <w:rPr>
          <w:u w:val="single"/>
        </w:rPr>
        <w:t xml:space="preserve">Each county auditor shall create an audit report for each special election, primary, and general election. The secretary of state shall develop, and all county auditors shall use, a standard reporting format for the audit report. At the time of certification of the election, the county auditor shall post the report on the county elections web site, or its equivalent. The report must include the following information:</w:t>
      </w:r>
    </w:p>
    <w:p>
      <w:pPr>
        <w:spacing w:before="0" w:after="0" w:line="408" w:lineRule="exact"/>
        <w:ind w:left="0" w:right="0" w:firstLine="576"/>
        <w:jc w:val="left"/>
      </w:pPr>
      <w:r>
        <w:rPr>
          <w:u w:val="single"/>
        </w:rPr>
        <w:t xml:space="preserve">(a) Each type of postelection audit performed;</w:t>
      </w:r>
    </w:p>
    <w:p>
      <w:pPr>
        <w:spacing w:before="0" w:after="0" w:line="408" w:lineRule="exact"/>
        <w:ind w:left="0" w:right="0" w:firstLine="576"/>
        <w:jc w:val="left"/>
      </w:pPr>
      <w:r>
        <w:rPr>
          <w:u w:val="single"/>
        </w:rPr>
        <w:t xml:space="preserve">(b) The total number of ballots audited;</w:t>
      </w:r>
    </w:p>
    <w:p>
      <w:pPr>
        <w:spacing w:before="0" w:after="0" w:line="408" w:lineRule="exact"/>
        <w:ind w:left="0" w:right="0" w:firstLine="576"/>
        <w:jc w:val="left"/>
      </w:pPr>
      <w:r>
        <w:rPr>
          <w:u w:val="single"/>
        </w:rPr>
        <w:t xml:space="preserve">(c) The make, model, and serial number of voting systems that were audited, and the total number of ballots counted using each of the audited voting systems;</w:t>
      </w:r>
    </w:p>
    <w:p>
      <w:pPr>
        <w:spacing w:before="0" w:after="0" w:line="408" w:lineRule="exact"/>
        <w:ind w:left="0" w:right="0" w:firstLine="576"/>
        <w:jc w:val="left"/>
      </w:pPr>
      <w:r>
        <w:rPr>
          <w:u w:val="single"/>
        </w:rPr>
        <w:t xml:space="preserve">(d) The ballot races or issues included in the audit;</w:t>
      </w:r>
    </w:p>
    <w:p>
      <w:pPr>
        <w:spacing w:before="0" w:after="0" w:line="408" w:lineRule="exact"/>
        <w:ind w:left="0" w:right="0" w:firstLine="576"/>
        <w:jc w:val="left"/>
      </w:pPr>
      <w:r>
        <w:rPr>
          <w:u w:val="single"/>
        </w:rPr>
        <w:t xml:space="preserve">(e) For each audit sample:</w:t>
      </w:r>
    </w:p>
    <w:p>
      <w:pPr>
        <w:spacing w:before="0" w:after="0" w:line="408" w:lineRule="exact"/>
        <w:ind w:left="0" w:right="0" w:firstLine="576"/>
        <w:jc w:val="left"/>
      </w:pPr>
      <w:r>
        <w:rPr>
          <w:u w:val="single"/>
        </w:rPr>
        <w:t xml:space="preserve">(i) The count of the specific ballot races or issues as originally tabulated for that audit sample;</w:t>
      </w:r>
    </w:p>
    <w:p>
      <w:pPr>
        <w:spacing w:before="0" w:after="0" w:line="408" w:lineRule="exact"/>
        <w:ind w:left="0" w:right="0" w:firstLine="576"/>
        <w:jc w:val="left"/>
      </w:pPr>
      <w:r>
        <w:rPr>
          <w:u w:val="single"/>
        </w:rPr>
        <w:t xml:space="preserve">(ii) The count as determined by the audit; and</w:t>
      </w:r>
    </w:p>
    <w:p>
      <w:pPr>
        <w:spacing w:before="0" w:after="0" w:line="408" w:lineRule="exact"/>
        <w:ind w:left="0" w:right="0" w:firstLine="576"/>
        <w:jc w:val="left"/>
      </w:pPr>
      <w:r>
        <w:rPr>
          <w:u w:val="single"/>
        </w:rPr>
        <w:t xml:space="preserve">(iii) An explanation of discrepancies found between the counts reported under (e)(i) and (ii) of this subsection, if any;</w:t>
      </w:r>
    </w:p>
    <w:p>
      <w:pPr>
        <w:spacing w:before="0" w:after="0" w:line="408" w:lineRule="exact"/>
        <w:ind w:left="0" w:right="0" w:firstLine="576"/>
        <w:jc w:val="left"/>
      </w:pPr>
      <w:r>
        <w:rPr>
          <w:u w:val="single"/>
        </w:rPr>
        <w:t xml:space="preserve">(f) The number of ballots duplicated and any discrepancies found during the audit of the duplicated ballots;</w:t>
      </w:r>
    </w:p>
    <w:p>
      <w:pPr>
        <w:spacing w:before="0" w:after="0" w:line="408" w:lineRule="exact"/>
        <w:ind w:left="0" w:right="0" w:firstLine="576"/>
        <w:jc w:val="left"/>
      </w:pPr>
      <w:r>
        <w:rPr>
          <w:u w:val="single"/>
        </w:rPr>
        <w:t xml:space="preserve">(g) Any other discrepancies found during each audit, and the findings of any investigation conducted under subsection (3) of this section;</w:t>
      </w:r>
    </w:p>
    <w:p>
      <w:pPr>
        <w:spacing w:before="0" w:after="0" w:line="408" w:lineRule="exact"/>
        <w:ind w:left="0" w:right="0" w:firstLine="576"/>
        <w:jc w:val="left"/>
      </w:pPr>
      <w:r>
        <w:rPr>
          <w:u w:val="single"/>
        </w:rPr>
        <w:t xml:space="preserve">(h) The signature, election administration certification number if applicable, and date of last election administration training of the county canvassing board members and designated election official who observed or conducted the audit; and</w:t>
      </w:r>
    </w:p>
    <w:p>
      <w:pPr>
        <w:spacing w:before="0" w:after="0" w:line="408" w:lineRule="exact"/>
        <w:ind w:left="0" w:right="0" w:firstLine="576"/>
        <w:jc w:val="left"/>
      </w:pPr>
      <w:r>
        <w:rPr>
          <w:u w:val="single"/>
        </w:rPr>
        <w:t xml:space="preserve">(i) Any other information that the secretary of state deems necessary.</w:t>
      </w:r>
    </w:p>
    <w:p>
      <w:pPr>
        <w:spacing w:before="0" w:after="0" w:line="408" w:lineRule="exact"/>
        <w:ind w:left="0" w:right="0" w:firstLine="576"/>
        <w:jc w:val="left"/>
      </w:pPr>
      <w:r>
        <w:rPr>
          <w:u w:val="single"/>
        </w:rPr>
        <w:t xml:space="preserve">(5)(a) Each county auditor shall submit the audit report required under subsection (4) of this section to the secretary of state no later than one day prior to the certification of the primary, special election, or general election. Once submitted, the report must be made available for public inspection and copying.</w:t>
      </w:r>
    </w:p>
    <w:p>
      <w:pPr>
        <w:spacing w:before="0" w:after="0" w:line="408" w:lineRule="exact"/>
        <w:ind w:left="0" w:right="0" w:firstLine="576"/>
        <w:jc w:val="left"/>
      </w:pPr>
      <w:r>
        <w:rPr>
          <w:u w:val="single"/>
        </w:rPr>
        <w:t xml:space="preserve">(b) The secretary of state shall review the report and, after review, may direct the county auditor to conduct additional audits. The secretary of state may instruct the county canvassing board to delay certification, by no more than ten days beyond the timeline set forth under RCW 29A.60.190, for the county auditor to complete any additional audit directed by the secretary of state.</w:t>
      </w:r>
    </w:p>
    <w:p>
      <w:pPr>
        <w:spacing w:before="0" w:after="0" w:line="408" w:lineRule="exact"/>
        <w:ind w:left="0" w:right="0" w:firstLine="576"/>
        <w:jc w:val="left"/>
      </w:pPr>
      <w:r>
        <w:rPr>
          <w:u w:val="single"/>
        </w:rPr>
        <w:t xml:space="preserve">(6)(a) The secretary of state shall compile the audit reports from each county and prepare a statewide audit report for each primary, special election, and general election. The secretary of state shall publish the statewide report on the secretary of state's web site no later than one month after the last county's election results have been certified.</w:t>
      </w:r>
    </w:p>
    <w:p>
      <w:pPr>
        <w:spacing w:before="0" w:after="0" w:line="408" w:lineRule="exact"/>
        <w:ind w:left="0" w:right="0" w:firstLine="576"/>
        <w:jc w:val="left"/>
      </w:pPr>
      <w:r>
        <w:rPr>
          <w:u w:val="single"/>
        </w:rPr>
        <w:t xml:space="preserve">(b) The report must include:</w:t>
      </w:r>
    </w:p>
    <w:p>
      <w:pPr>
        <w:spacing w:before="0" w:after="0" w:line="408" w:lineRule="exact"/>
        <w:ind w:left="0" w:right="0" w:firstLine="576"/>
        <w:jc w:val="left"/>
      </w:pPr>
      <w:r>
        <w:rPr>
          <w:u w:val="single"/>
        </w:rPr>
        <w:t xml:space="preserve">(i) Data from each county's audit report and other quantifiable data that can be compared to measure performance and trends;</w:t>
      </w:r>
    </w:p>
    <w:p>
      <w:pPr>
        <w:spacing w:before="0" w:after="0" w:line="408" w:lineRule="exact"/>
        <w:ind w:left="0" w:right="0" w:firstLine="576"/>
        <w:jc w:val="left"/>
      </w:pPr>
      <w:r>
        <w:rPr>
          <w:u w:val="single"/>
        </w:rPr>
        <w:t xml:space="preserve">(ii) Any recommendations for improving election administration and policy; and</w:t>
      </w:r>
    </w:p>
    <w:p>
      <w:pPr>
        <w:spacing w:before="0" w:after="0" w:line="408" w:lineRule="exact"/>
        <w:ind w:left="0" w:right="0" w:firstLine="576"/>
        <w:jc w:val="left"/>
      </w:pPr>
      <w:r>
        <w:rPr>
          <w:u w:val="single"/>
        </w:rPr>
        <w:t xml:space="preserve">(iii) Any other information the secretary of state deems useful to develop a better understanding of election administration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fourteen days after a primary, or twenty-one days after a general election, the county canvassing board shall complete the canvass and certify the results</w:t>
      </w:r>
      <w:r>
        <w:rPr>
          <w:u w:val="single"/>
        </w:rPr>
        <w:t xml:space="preserve">, except as provided under RCW 29A.60.185</w:t>
      </w:r>
      <w:r>
        <w:rPr/>
        <w:t xml:space="preserve">.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
      <w:pPr>
        <w:jc w:val="center"/>
      </w:pPr>
      <w:r>
        <w:rPr>
          <w:b/>
        </w:rPr>
        <w:t>--- END ---</w:t>
      </w:r>
    </w:p>
    <w:sectPr>
      <w:pgNumType w:start="1"/>
      <w:footerReference xmlns:r="http://schemas.openxmlformats.org/officeDocument/2006/relationships" r:id="Ra5a21c48bd15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529cf2a8149d7" /><Relationship Type="http://schemas.openxmlformats.org/officeDocument/2006/relationships/footer" Target="/word/footer1.xml" Id="Ra5a21c48bd154a7b" /></Relationships>
</file>