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a5be9140742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Pollet, Harris, Cody, Robinson, Tarleton, Frame, Bergquist, Ryu, Kilduff, Macri, Stonier, Dolan, Orwall, Doglio, Senn, Stanford, Appleton, Callan, Wylie, Peterson, Valdez, Walen, Leavitt, Kloba, and Lovick)</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66.08.145, 66.44.010, 70.345.090, 70.345.160, 82.24.510, 82.24.550, 82.26.060, 82.26.080, 82.26.150, 82.26.220, 82.32.300, and 43.06.450; amending 2019 c 15 s 11 (uncodified); adding new sections to chapter 43.06 RCW; adding a new section to chapter 82.08 RCW; adding a new section to chapter 82.12 RCW; adding a new chapter to Title 82 RCW; creating new sections; prescribing penalties; making appropriations;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electronic nicotine delivery systems, and vape pens, has risen at an alarming rate both among adults and youth. The vaping epidemic has reversed decades of progress in reducing youth use of nicotine.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tobacco products classified as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an aerosol that the user inhales and that bystanders can also breathe in when the user exhales into the air. The aerosol can contain harmful and potentially harmful substances, including volatile organic compounds, ultrafine particles, cancer-causing chemicals, heavy metals, and flavoring such as diacetyl, which has been linked to a serious lung disease. Vapor products may also be used to deliver marijuana or other drugs;</w:t>
      </w:r>
    </w:p>
    <w:p>
      <w:pPr>
        <w:spacing w:before="0" w:after="0" w:line="408" w:lineRule="exact"/>
        <w:ind w:left="0" w:right="0" w:firstLine="576"/>
        <w:jc w:val="left"/>
      </w:pPr>
      <w:r>
        <w:rPr/>
        <w:t xml:space="preserve">(b) In 2016, the federal food and drug administration finalized a rule to extend its regulatory authority to all tobacco products, including e-cigarettes, to improve public health. The food and drug administration's regulatory authority over noncombustible tobacco products includes e-cigarette components and parts, such as e-liquids, cartridges, tank systems, and flavorings;</w:t>
      </w:r>
    </w:p>
    <w:p>
      <w:pPr>
        <w:spacing w:before="0" w:after="0" w:line="408" w:lineRule="exact"/>
        <w:ind w:left="0" w:right="0" w:firstLine="576"/>
        <w:jc w:val="left"/>
      </w:pPr>
      <w:r>
        <w:rPr/>
        <w:t xml:space="preserve">(c)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(d) The sale and use of vapor products has rapidly increased over the past several years. The 2018 national youth tobacco survey found that use of e-cigarettes increased seventy-eight percent among high school students and forty-eight percent among middle school students from 2017 to 2018. Last year more than 3.6 million youth used e-cigarettes, making them the most commonly used tobacco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(e) In Washington, the 2018 healthy youth survey found that thirty percent of twelfth graders, twenty-one percent of tenth graders, and ten percent of eighth graders had used an e-cigarette in the past month. These rates are alarming because an overwhelming majority of smokers begin smoking and become addicted to nicotine as teenagers, and the equipment used may be sold and used interchangeably for marijuana and nicotine. State law now prohibits the sale of vapor products containing nicotine to persons under the age of twenty-one, but the availability of vapor products online and equipment sold separately at retail stores pose enforcement challenges;</w:t>
      </w:r>
    </w:p>
    <w:p>
      <w:pPr>
        <w:spacing w:before="0" w:after="0" w:line="408" w:lineRule="exact"/>
        <w:ind w:left="0" w:right="0" w:firstLine="576"/>
        <w:jc w:val="left"/>
      </w:pPr>
      <w:r>
        <w:rPr/>
        <w:t xml:space="preserve">(f)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provide parity with the price of other harmful substances. Moreover, a price increase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(g) Public health infrastructure and enforcement to prevent youth access to tobacco, including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 The definitions in chapters 82.04 and 82.08 RCW apply to this chapter unless the term is defined in this chapter or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selling or distributing vapor products in this state.</w:t>
      </w:r>
    </w:p>
    <w:p>
      <w:pPr>
        <w:spacing w:before="0" w:after="0" w:line="408" w:lineRule="exact"/>
        <w:ind w:left="0" w:right="0" w:firstLine="576"/>
        <w:jc w:val="left"/>
      </w:pPr>
      <w:r>
        <w:rPr/>
        <w:t xml:space="preserve">(3) "Indian country" has the same meaning as provided in RCW 82.24.010.</w:t>
      </w:r>
    </w:p>
    <w:p>
      <w:pPr>
        <w:spacing w:before="0" w:after="0" w:line="408" w:lineRule="exact"/>
        <w:ind w:left="0" w:right="0" w:firstLine="576"/>
        <w:jc w:val="left"/>
      </w:pPr>
      <w:r>
        <w:rPr/>
        <w:t xml:space="preserve">(4) "Retailer" has the same meaning as provided in RCW 70.345.010.</w:t>
      </w:r>
    </w:p>
    <w:p>
      <w:pPr>
        <w:spacing w:before="0" w:after="0" w:line="408" w:lineRule="exact"/>
        <w:ind w:left="0" w:right="0" w:firstLine="576"/>
        <w:jc w:val="left"/>
      </w:pPr>
      <w:r>
        <w:rPr/>
        <w:t xml:space="preserve">(5)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(10):</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thirty cents per milliliter of liquid nicotine or solution containing nicotine, and a proportionate tax at the like rate on all fractional parts of a milliliter thereof.</w:t>
      </w:r>
    </w:p>
    <w:p>
      <w:pPr>
        <w:spacing w:before="0" w:after="0" w:line="408" w:lineRule="exact"/>
        <w:ind w:left="0" w:right="0" w:firstLine="576"/>
        <w:jc w:val="left"/>
      </w:pPr>
      <w:r>
        <w:rPr/>
        <w:t xml:space="preserve">(ii) Any accessible container of liquid nicotine, or solution containing nicotine, that is greater than five milliliters, is taxed at a rate equal to ten cents per milliliter of liquid or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manufacturers,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provisions of RCW 82.08.037, 82.08.040, RCW 82.08.050 (1) and (2), 82.08.054, 82.08.060, 82.08.120, and 82.08.145 and chapter 82.32 RCW apply to the tax imposed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the revenues generated by the tax imposed in this chapter to fund foundational public health services; tobacco, vapor product, and other substance abuse prevention; expanded access to training of public health professionals; and the promotion of cancer research.</w:t>
      </w:r>
    </w:p>
    <w:p>
      <w:pPr>
        <w:spacing w:before="0" w:after="0" w:line="408" w:lineRule="exact"/>
        <w:ind w:left="0" w:right="0" w:firstLine="576"/>
        <w:jc w:val="left"/>
      </w:pPr>
      <w:r>
        <w:rPr/>
        <w:t xml:space="preserve">(2) All of the moneys collected from the tax imposed under section 202 of this act must be deposited into the foundational public health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All of the moneys collected from the tax imposed under section 202 of this act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 and</w:t>
      </w:r>
    </w:p>
    <w:p>
      <w:pPr>
        <w:spacing w:before="0" w:after="0" w:line="408" w:lineRule="exact"/>
        <w:ind w:left="0" w:right="0" w:firstLine="576"/>
        <w:jc w:val="left"/>
      </w:pPr>
      <w:r>
        <w:rPr/>
        <w:t xml:space="preserve">(5) To fund cancer research. In the 2019-2021 biennium, at least six million dollars of the funds deposited into the account must be appropriated for deposit into the Andy Hill cancer research endowment fund match transfer account created in RCW 43.348.080. Beginning in the 2021-2023 biennium, at least four million dollars of the funds deposited into the account must be appropriated for deposit into the Andy Hill cancer research endowment fund match transfer account created in RCW 43.348.080.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603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w:t>
      </w:r>
      <w:r>
        <w:rPr>
          <w:u w:val="single"/>
        </w:rPr>
        <w:t xml:space="preserve">A delivery sale licensee must collect and remit vapor product excise taxes due in accordance with chapter 82.--- RCW (the new chapter created in section 603 of this act).</w:t>
      </w:r>
    </w:p>
    <w:p>
      <w:pPr>
        <w:spacing w:before="0" w:after="0" w:line="408" w:lineRule="exact"/>
        <w:ind w:left="0" w:right="0" w:firstLine="576"/>
        <w:jc w:val="left"/>
      </w:pPr>
      <w:r>
        <w:rPr>
          <w:u w:val="single"/>
        </w:rPr>
        <w:t xml:space="preserve">(7)</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 </w:t>
      </w:r>
      <w:r>
        <w:rPr>
          <w:u w:val="single"/>
        </w:rPr>
        <w:t xml:space="preserve">and chapter 82.--- RCW (the new chapter created in section 603 of this act)</w:t>
      </w:r>
      <w:r>
        <w:rPr/>
        <w:t xml:space="preserve">.</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0" w:after="0" w:line="408" w:lineRule="exact"/>
        <w:ind w:left="0" w:right="0" w:firstLine="576"/>
        <w:jc w:val="left"/>
      </w:pPr>
      <w:r>
        <w:rPr>
          <w:u w:val="single"/>
        </w:rPr>
        <w:t xml:space="preserve">(7) Product found to be in violation of the provisions of this chapter or chapter 82.--- RCW (the new chapter created in section 603 of this act) are subject to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 and therefore the liquor and cannabis board is responsible for enforcement activities that come under the terms of chapter 82.--- RCW (the new chapter created in section 603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402 through 404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six hundred ninety-six thousand dollars, or as much thereof as may be necessary, is appropriated for the fiscal biennium ending June 30, 2021, from the foundational public health services account to the liquor and cannabis board for the purposes of enforcement of the provisions of part II of this act, with emphasis on prevention of sales of vapor products to minors, and for control of marketing and product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thirty-two thousand dollars, or as much thereof as may be necessary, is appropriated for the fiscal biennium ending June 30, 2021, from the foundational public health services account to the University of Washington for the purposes of providing increased access and training of public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forty thousand dollars, or as much thereof as may be necessary, is appropriated for the fiscal biennium ending June 30, 2021, from the foundational public health services account to the department of health for the purposes of tobacco, vapor product, and nicotine control and prevention, and other substance use prevention and education. In spending funds under this section, the department must follow best practices for comprehensive tobacco control programs as described by the centers for disease control.</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606 of this act,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407 of this act takes effect January 1, 2020.</w:t>
      </w:r>
    </w:p>
    <w:p/>
    <w:p>
      <w:pPr>
        <w:jc w:val="center"/>
      </w:pPr>
      <w:r>
        <w:rPr>
          <w:b/>
        </w:rPr>
        <w:t>--- END ---</w:t>
      </w:r>
    </w:p>
    <w:sectPr>
      <w:pgNumType w:start="1"/>
      <w:footerReference xmlns:r="http://schemas.openxmlformats.org/officeDocument/2006/relationships" r:id="R472b6cf6fdb94f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6d244ccf747d7" /><Relationship Type="http://schemas.openxmlformats.org/officeDocument/2006/relationships/footer" Target="/word/footer1.xml" Id="R472b6cf6fdb94f86" /></Relationships>
</file>