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fa2312a69491c" /></Relationships>
</file>

<file path=word/document.xml><?xml version="1.0" encoding="utf-8"?>
<w:document xmlns:w="http://schemas.openxmlformats.org/wordprocessingml/2006/main">
  <w:body>
    <w:p>
      <w:r>
        <w:t>H-1130.2</w:t>
      </w:r>
    </w:p>
    <w:p>
      <w:pPr>
        <w:jc w:val="center"/>
      </w:pPr>
      <w:r>
        <w:t>_______________________________________________</w:t>
      </w:r>
    </w:p>
    <w:p/>
    <w:p>
      <w:pPr>
        <w:jc w:val="center"/>
      </w:pPr>
      <w:r>
        <w:rPr>
          <w:b/>
        </w:rPr>
        <w:t>HOUSE BILL 1991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Fey, Sells, and Valdez</w:t>
      </w:r>
    </w:p>
    <w:p/>
    <w:p>
      <w:r>
        <w:rPr>
          <w:t xml:space="preserve">Read first time 02/11/19.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license plates; reenacting and amending RCW 46.16A.200;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w:t>
      </w:r>
      <w:r>
        <w:rPr>
          <w:u w:val="single"/>
        </w:rPr>
        <w:t xml:space="preserve">The director may also approve the use of digital license plates, as defined in section 2 of this act. Except as provided in subsection (4) of this section, l</w:t>
      </w:r>
      <w:r>
        <w:rPr/>
        <w:t xml:space="preserve">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w:t>
      </w:r>
      <w:r>
        <w:rPr>
          <w:u w:val="single"/>
        </w:rPr>
        <w:t xml:space="preserve">or digital license plates approved by the director,</w:t>
      </w:r>
      <w:r>
        <w:rPr/>
        <w:t xml:space="preserve">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 </w:t>
      </w:r>
      <w:r>
        <w:rPr>
          <w:b/>
          <w:u w:val="single"/>
        </w:rPr>
        <w:t xml:space="preserve">Digital license plates. </w:t>
      </w:r>
      <w:r>
        <w:rPr>
          <w:u w:val="single"/>
        </w:rPr>
        <w:t xml:space="preserve">The digital license plate design must be consistent with the plate design issued to the customer by the department. Any changes to the plate design that are required for proper rendering of the digital license plate must be approved by the department. Digital license plates must meet the following requirements:</w:t>
      </w:r>
    </w:p>
    <w:p>
      <w:pPr>
        <w:spacing w:before="0" w:after="0" w:line="408" w:lineRule="exact"/>
        <w:ind w:left="0" w:right="0" w:firstLine="576"/>
        <w:jc w:val="left"/>
      </w:pPr>
      <w:r>
        <w:rPr>
          <w:u w:val="single"/>
        </w:rPr>
        <w:t xml:space="preserve">(a) Be visible at all times, including while the vehicle is parked or turned off;</w:t>
      </w:r>
    </w:p>
    <w:p>
      <w:pPr>
        <w:spacing w:before="0" w:after="0" w:line="408" w:lineRule="exact"/>
        <w:ind w:left="0" w:right="0" w:firstLine="576"/>
        <w:jc w:val="left"/>
      </w:pPr>
      <w:r>
        <w:rPr>
          <w:u w:val="single"/>
        </w:rPr>
        <w:t xml:space="preserve">(b) The letters and numbers must be of sufficient size to be plainly readable during daylight hours from a distance of one hundred feet;</w:t>
      </w:r>
    </w:p>
    <w:p>
      <w:pPr>
        <w:spacing w:before="0" w:after="0" w:line="408" w:lineRule="exact"/>
        <w:ind w:left="0" w:right="0" w:firstLine="576"/>
        <w:jc w:val="left"/>
      </w:pPr>
      <w:r>
        <w:rPr>
          <w:u w:val="single"/>
        </w:rPr>
        <w:t xml:space="preserve">(c) The display device must be visible at night and not obstruct the vehicle's equipped illumination light or must contain an internal light source; and</w:t>
      </w:r>
    </w:p>
    <w:p>
      <w:pPr>
        <w:spacing w:before="0" w:after="0" w:line="408" w:lineRule="exact"/>
        <w:ind w:left="0" w:right="0" w:firstLine="576"/>
        <w:jc w:val="left"/>
      </w:pPr>
      <w:r>
        <w:rPr>
          <w:u w:val="single"/>
        </w:rPr>
        <w:t xml:space="preserve">(d) Must contain a user selectable feature that may be turned on or off as to whether the license plate collects or stores vehicle location and telemetry information.</w:t>
      </w:r>
    </w:p>
    <w:p>
      <w:pPr>
        <w:spacing w:before="0" w:after="0" w:line="408" w:lineRule="exact"/>
        <w:ind w:left="0" w:right="0" w:firstLine="576"/>
        <w:jc w:val="left"/>
      </w:pPr>
      <w:r>
        <w:rPr>
          <w:u w:val="single"/>
        </w:rPr>
        <w:t xml:space="preserve">(5)</w:t>
      </w:r>
      <w:r>
        <w:rPr/>
        <w:t xml:space="preserve">(a)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u w:val="single"/>
        </w:rPr>
        <w:t xml:space="preserve">(c) The director may issue one metal plate to be attached to the front of the vehicle if an approved digital license plate is affixed to the rear of the vehicle.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w:t>
      </w:r>
      <w:r>
        <w:t>((</w:t>
      </w:r>
      <w:r>
        <w:rPr>
          <w:strike/>
        </w:rPr>
        <w:t xml:space="preserve">(7)</w:t>
      </w:r>
      <w:r>
        <w:t>))</w:t>
      </w:r>
      <w:r>
        <w:rPr/>
        <w:t xml:space="preserve"> </w:t>
      </w:r>
      <w:r>
        <w:rPr>
          <w:u w:val="single"/>
        </w:rPr>
        <w:t xml:space="preserve">(8)</w:t>
      </w:r>
      <w:r>
        <w:rPr/>
        <w:t xml:space="preserve">(e)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Transfer.</w:t>
      </w:r>
      <w:r>
        <w:rPr/>
        <w:t xml:space="preserve"> (a) Standard issue license plates must be replaced when ownership of the vehicle changes, pursuant to subsection </w:t>
      </w:r>
      <w:r>
        <w:t>((</w:t>
      </w:r>
      <w:r>
        <w:rPr>
          <w:strike/>
        </w:rPr>
        <w:t xml:space="preserve">(9)</w:t>
      </w:r>
      <w:r>
        <w:t>))</w:t>
      </w:r>
      <w:r>
        <w:rPr/>
        <w:t xml:space="preserve"> </w:t>
      </w:r>
      <w:r>
        <w:rPr>
          <w:u w:val="single"/>
        </w:rPr>
        <w:t xml:space="preserve">(10)</w:t>
      </w:r>
      <w:r>
        <w:rPr/>
        <w:t xml:space="preserve">(a)(i)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Replacement.</w:t>
      </w:r>
      <w:r>
        <w:rPr/>
        <w:t xml:space="preserve"> (a) Except as provided in subsection </w:t>
      </w:r>
      <w:r>
        <w:t>((</w:t>
      </w:r>
      <w:r>
        <w:rPr>
          <w:strike/>
        </w:rPr>
        <w:t xml:space="preserve">(8)</w:t>
      </w:r>
      <w:r>
        <w:t>))</w:t>
      </w:r>
      <w:r>
        <w:rPr/>
        <w:t xml:space="preserve"> </w:t>
      </w:r>
      <w:r>
        <w:rPr>
          <w:u w:val="single"/>
        </w:rPr>
        <w:t xml:space="preserve">(9)</w:t>
      </w:r>
      <w:r>
        <w:rPr/>
        <w:t xml:space="preserve">(a)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w:t>
      </w:r>
      <w:r>
        <w:t>((</w:t>
      </w:r>
      <w:r>
        <w:rPr>
          <w:strike/>
        </w:rPr>
        <w:t xml:space="preserve">(9)</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r>
        <w:rPr>
          <w:u w:val="single"/>
        </w:rPr>
        <w:t xml:space="preserve">;</w:t>
      </w:r>
    </w:p>
    <w:p>
      <w:pPr>
        <w:spacing w:before="0" w:after="0" w:line="408" w:lineRule="exact"/>
        <w:ind w:left="0" w:right="0" w:firstLine="576"/>
        <w:jc w:val="left"/>
      </w:pPr>
      <w:r>
        <w:rPr>
          <w:u w:val="single"/>
        </w:rPr>
        <w:t xml:space="preserve">(d) Digital license plates, as defined in section 2 of this act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b/>
        </w:rPr>
        <w:t xml:space="preserve">Rules.</w:t>
      </w:r>
      <w:r>
        <w:rPr/>
        <w:t xml:space="preserve"> The department may adopt rules to implement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"Digital license plate" means a license plate that: (1) Displays the letters and numbers assigned to the vehicle by the department, the name of the state, and any other information required by the department, in the manner prescribed by the department; (2) produces a crisp, bright, reflective screen; and (3) is certified as an automotive grade IP66 product.</w:t>
      </w:r>
    </w:p>
    <w:p/>
    <w:p>
      <w:pPr>
        <w:jc w:val="center"/>
      </w:pPr>
      <w:r>
        <w:rPr>
          <w:b/>
        </w:rPr>
        <w:t>--- END ---</w:t>
      </w:r>
    </w:p>
    <w:sectPr>
      <w:pgNumType w:start="1"/>
      <w:footerReference xmlns:r="http://schemas.openxmlformats.org/officeDocument/2006/relationships" r:id="Rb103a3bf1f2441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9320f4605343ae" /><Relationship Type="http://schemas.openxmlformats.org/officeDocument/2006/relationships/footer" Target="/word/footer1.xml" Id="Rb103a3bf1f24412b" /></Relationships>
</file>