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39d620170d4f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Wylie, Vick, Stonier, Hoff, and Harris)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(2)(a)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0" w:after="0" w:line="408" w:lineRule="exact"/>
        <w:ind w:left="0" w:right="0" w:firstLine="576"/>
        <w:jc w:val="left"/>
      </w:pPr>
      <w:r>
        <w:rPr/>
        <w:t xml:space="preserve">(b) In order to qualify as a transportation project of statewide significance, the project must also contain a bridge that connects two states that has a reasonable cost estimate to construct of at least five hundred million dollars and would benefit from an expedited permitting process due to preexisting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at least one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bc28d7bbffe64a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754b113aa4aaa" /><Relationship Type="http://schemas.openxmlformats.org/officeDocument/2006/relationships/footer" Target="/word/footer1.xml" Id="Rbc28d7bbffe64a83" /></Relationships>
</file>